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6B_584/2018 vom 30. August 2018</w:t>
      </w:r>
    </w:p>
    <w:p>
      <w:r>
        <w:t>Bundesgericht, 2018-08-30, FR</w:t>
      </w:r>
    </w:p>
    <w:p>
      <w:r>
        <w:rPr>
          <w:b/>
        </w:rPr>
        <w:t xml:space="preserve">Quelle: </w:t>
      </w:r>
      <w:r>
        <w:t>https://mcp.opencaselaw.ch/entscheid/bger_6B_584_2018</w:t>
      </w:r>
    </w:p>
    <w:p>
      <w:r>
        <w:t>FR: TF 6B_584/2018 du 30 août 2018</w:t>
      </w:r>
    </w:p>
    <w:p>
      <w:r>
        <w:t>IT: TF 6B_584/2018 del 30 agosto 2018</w:t>
      </w:r>
    </w:p>
    <w:p>
      <w:pPr>
        <w:pStyle w:val="Heading2"/>
      </w:pPr>
      <w:r>
        <w:t>Erwägungen</w:t>
      </w:r>
    </w:p>
    <w:p>
      <w:r>
        <w:rPr>
          <w:b/>
        </w:rPr>
        <w:t>E. 1.1</w:t>
      </w:r>
    </w:p>
    <w:p>
      <w:r>
        <w:t>Dénonçant une violation de l' art. 349 CPP , la recourante reproche au tribunal de première instance d'avoir demandé par écrit à A.________ SA des précisions inutiles sur son système de contrôle, sans lui envoyer une copie de ce courrier, ne l'avisant que du résultat du complément requis. En outre, elle dénonce une violation de l' art. 344 CPP . Selon elle, dans la mesure où les conditions pour un complément d'instruction n'étaient pas réalisées, le premier juge n'aurait pas dû pouvoir aviser les parties qu'il envisageait de retenir l'infraction d'utilisation frauduleuse d'un ordinateur ( art. 147 CP ).</w:t>
      </w:r>
    </w:p>
    <w:p>
      <w:r>
        <w:rPr>
          <w:b/>
        </w:rPr>
        <w:t>E. 1.2</w:t>
      </w:r>
    </w:p>
    <w:p>
      <w:r>
        <w:t>Conformément à l' art. 349 CPP , lorsque l'affaire n'est pas en état d'être jugée, le tribunal décide de compléter les preuves, puis de reprendre les débats. Une certaine marge de manoeuvre doit être laissée au juge pour déterminer les preuves nécessaires à l'établissement des faits. La recourante se plaint de la violation de l' art. 349 CPP , mais n'expose pas que, de ce fait, l'état de fait aurait été établi de manière arbitraire et que cela aurait pu changer l'issue du litige (cf. art. 97 al. 1 LTF ). Dans ces conditions, la cour de céans ne voit pas l'intérêt de la recourante de se plaindre de la violation de l' art. 349 CPP . Il n'y a donc pas lieu d'entrer en matière sur le grief soulevé.</w:t>
      </w:r>
    </w:p>
    <w:p>
      <w:r>
        <w:t>Dans la mesure où la recourante se plaint de la violation de son droit d'être entendue, ce grief est infondé. Elle a été informée de l'objet approximatif du complément de preuve (pièce 43) et n'a pas protesté ou demandé des explications plus détaillées. Elle a ensuite été avisée du résultat du complément requis (pièce 46) et a pu exercer son droit d'être entendue à ce sujet à la reprise des débats, où la plaignante était présente. Elle a également pu faire valoir ses droits devant la cour d'appel pénale, dont seul le jugement est susceptible de recours devant le Tribunal fédéral.</w:t>
      </w:r>
    </w:p>
    <w:p>
      <w:r>
        <w:t>La recourante dénonce également la violation de l' art. 344 CPP . Le fait que le tribunal a avisé les parties de la possibilité d'une appréciation juridique divergente après la clôture des débats ne prête pas le flanc à la critique, puisque ceux-ci devaient être rouverts ensuite du complément de preuve. Dans tous les cas, cela reste sans portée pratique, la condamnation pour escroquerie ayant été confirmée.</w:t>
      </w:r>
    </w:p>
    <w:p>
      <w:r>
        <w:rPr>
          <w:b/>
        </w:rPr>
        <w:t>E. 2</w:t>
      </w:r>
    </w:p>
    <w:p>
      <w:r>
        <w:t>La recourante conteste sa condamnation pour escroquerie ( art. 146 CP ). En premier lieu, elle invoque l'absence d'astuce. En effet, elle aurait toujours donné la même adresse physique, de sorte que l'intimée aurait pu facilement découvrir que toutes les commandes étaient passées par la même personne. Selon elle, le système de contrôle mis sur pied par l'intimée n'aurait pas été suffisamment efficace pour concrétiser l'existence du " minimum de prudence " de la dupe. En second lieu, la recourante conteste le dommage et l'existence d'un enrichissement illégitime. Elle fait notamment valoir qu'elle a conclu un accord de remboursement avec l'intimée (convention du 13 septembre 2017).</w:t>
      </w:r>
    </w:p>
    <w:p>
      <w:r>
        <w:rPr>
          <w:b/>
        </w:rPr>
        <w:t>E. 2.1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Pour qu'il y ait escroquerie, une simple tromperie ne suffit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w:t>
      </w:r>
    </w:p>
    <w:p>
      <w:r>
        <w:t>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 ATF 142 IV 153 consid. 2.2.2 p. 155; 135 IV 76 consid. 5.2 p. 80 s.; 128 IV 18 consid. 3a p. 20).</w:t>
      </w:r>
    </w:p>
    <w:p>
      <w:r>
        <w:t>Une tromperie portant sur la volonté d'exécuter un contrat n'est pas astucieuse dans tous les cas. Il est trop schématique d'affirmer que la volonté affichée est un phénomène intérieur invérifiable et qu'une tromperie relative à cette volonté est toujours astucieuse ( ATF 118 IV 359 consid. 2 p. 361).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l'escroquerie a donc été niée ( ATF 142 IV 153 ).</w:t>
      </w:r>
    </w:p>
    <w:p>
      <w:r>
        <w:t>L'escroquerie n'est consommée que s'il y a un dommage (arrêt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Un préjudice temporaire suffit ( ATF 121 IV 104 consid. 2c p. 108). Dans le cadre d'un échange commercial, un dommage peut être retenu lorsqu'un appauvrissement résulte de l'opération prise dans son ensemble ( ATF 120 IV 122 consid. 6 b/bb p. 134).</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2.2</w:t>
      </w:r>
    </w:p>
    <w:p>
      <w:r>
        <w:t>Lorsque la recourante a vu que les commandes passées en son nom propre étaient refusées, elle a utilisé des fausses données. Elle a créé des identités fictives et de nouveaux comptes avec de nouvelles adresses e-mail; elle a également changé d'adresse IP. Certes, elle a toujours indiqué la même adresse postale. Cette mention n'était toutefois pas propre à l'identifier, dès lors que de nombreuses personnes peuvent avoir la même adresse, selon le type d'immeuble concerné. Par son comportement, la recourante a donc bien trompé l'intimée.</w:t>
      </w:r>
    </w:p>
    <w:p>
      <w:r>
        <w:t>Contrairement au cas exposé aux ATF 142 IV 153 , la dupe disposait d'un système de contrôle, qui permettait notamment de vérifier l'identité des acheteurs, en faisant appel à la base de données de K.________ AG, à L.________ (cf. pièce 4, p. 4). C'est en vain que la recourante soutient que ce système n'était pas suffisamment efficace pour concrétiser l'existence du " minimum de prudence " de la dupe. En effet, ce système avait permis de bloquer les commandes de la recourante en son nom propre. Celle-ci avait dû contourner le système, en recourant sans cesse à de nouvelles identités. Le fait que la dupe a depuis lors amélioré son système pour que l'ordinateur fasse le lien entre toutes les commandes faites pour la même adresse ne signifie pas qu'elle ait été négligente jusque-là. Pour qu'il y ait escroquerie, il n'est pas nécessaire que la dupe ait recouru à toutes les mesures de sécurité possibles, mais il suffit qu'elle n'ait pas fait preuve de négligence.</w:t>
      </w:r>
    </w:p>
    <w:p>
      <w:r>
        <w:t>La recourante a commandé des objets qu'elle a reçus et n'a pas acquitté les factures, malgré les multiples relances de l'intimée. Selon la jurisprudence, un dommage temporaire ou provisoire est suffisant (cf. ci-dessus consid. 2.1). Le remboursement peut supprimer par la suite le dommage, mais il n'empêche pas sa survenance. Pour le surplus, la recourante a bien agi avec un dessein d'enrichissement illégitime, dès lors qu'elle a commandé des marchandises, alors qu'elle savait qu'elle n'était pas en mesure de s'acquitter de leur prix.</w:t>
      </w:r>
    </w:p>
    <w:p>
      <w:r>
        <w:rPr>
          <w:b/>
        </w:rPr>
        <w:t>E. 2.3</w:t>
      </w:r>
    </w:p>
    <w:p>
      <w:r>
        <w:t>En définitive, les éléments constitutifs de l'infraction d'escroquerie sont réalisés. La cour cantonale n'a pas violé le droit fédéral en condamnant la recourante pour cette infraction. Les conclusions de la recourante tendant au versement d'une indemnité au sens de l' art. 429 CPP doivent donc être rejetées.</w:t>
      </w:r>
    </w:p>
    <w:p>
      <w:r>
        <w:rPr>
          <w:b/>
        </w:rPr>
        <w:t>E. 3</w:t>
      </w:r>
    </w:p>
    <w:p>
      <w:r>
        <w:t>Le recours doit être rejeté dans la mesure où il est recevable.</w:t>
      </w:r>
    </w:p>
    <w:p>
      <w:r>
        <w:t>Comme ses conclusions étaient vouées à l'échec, l'assistance judiciaire ne peut être accordée ( art. 64 al. 1 LTF ). La recourante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