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6B_57/2011 vom 20. Juni 2011</w:t>
      </w:r>
    </w:p>
    <w:p>
      <w:r>
        <w:t>Bundesgericht, 2011-06-20, DE</w:t>
      </w:r>
    </w:p>
    <w:p>
      <w:r>
        <w:rPr>
          <w:b/>
        </w:rPr>
        <w:t xml:space="preserve">Quelle: </w:t>
      </w:r>
      <w:r>
        <w:t>https://mcp.opencaselaw.ch/entscheid/bger_6B_57_2011</w:t>
      </w:r>
    </w:p>
    <w:p>
      <w:r>
        <w:t>FR: TF 6B_57/2011 du 20 juin 2011</w:t>
      </w:r>
    </w:p>
    <w:p>
      <w:r>
        <w:t>IT: TF 6B_57/2011 del 20 giugno 2011</w:t>
      </w:r>
    </w:p>
    <w:p>
      <w:pPr>
        <w:pStyle w:val="Heading2"/>
      </w:pPr>
      <w:r>
        <w:t>Erwägungen</w:t>
      </w:r>
    </w:p>
    <w:p>
      <w:r>
        <w:rPr>
          <w:b/>
        </w:rPr>
        <w:t>E. 1.1</w:t>
      </w:r>
    </w:p>
    <w:p>
      <w:r>
        <w:t>Der Beschwerdeführer rügt, die Vorinstanz verletze seinen Anspruch auf rechtliches Gehör nach Art. 29 Abs. 2 BV und Art. 6 Ziff. 1 EMRK . Sie habe ihm die Stellungnahme der Staatsanwaltschaft Limmattal/Albis vom 7. September 2010 weder zur Kenntnis gebracht noch zur allfälligen Stellungnahme zugestellt. Er habe davon erst durch das angefochtene Urteil erfahren (Beschwerde S. 4).</w:t>
      </w:r>
    </w:p>
    <w:p>
      <w:r>
        <w:rPr>
          <w:b/>
        </w:rPr>
        <w:t>E. 1.2</w:t>
      </w:r>
    </w:p>
    <w:p>
      <w:r>
        <w:t>Die Beschwerdegegnerin 2 erachtet den Einwand des Beschwerdeführers als rechtsmissbräuchlich. Die Staatsanwaltschaft gebe in ihrer kurzen Stellungnahme lediglich die Feststellung des Bundesgerichtsurteils wieder, wonach Aussagen der beiden Zeugen A.________ und B.________ sowie jene des Beschwerdeführers verwertbar seien. Gestützt darauf ziehe sie die Schlussfolgerung, es sei unbeachtlich, ob die erneuten Einvernahmen als Wiederholung oder Beweisergänzung zu qualifizieren seien. Sie halte vollumfänglich an der Anklageschrift fest. Der Beschwerdeführer habe zu diesen Fragen bereits Stellung genommen, da sie (die Beschwerdegegnerin 2) sich zur selben Frage habe verlauten lassen. Seine Stellungnahme zur Rechtsschrift der Staatsanwaltschaft wäre nicht anders ausgefallen.</w:t>
      </w:r>
    </w:p>
    <w:p>
      <w:r>
        <w:rPr>
          <w:b/>
        </w:rPr>
        <w:t>E. 1.3</w:t>
      </w:r>
    </w:p>
    <w:p>
      <w:r>
        <w:t>Der Anspruch auf rechtliches Gehör gemäss Art. 29 Abs. 2 BV umfasst das Recht, von jeder dem Gericht eingereichten Stellungnahme Kenntnis zu nehmen und sich dazu äussern zu können, unabhängig davon, ob die Stellungnahme neue Tatsachen oder Argumente enthält und ob sie das Gericht tatsächlich zu beeinflussen vermag. Das auf Art. 29 Abs. 2 BV gestützte Replikrecht gilt für alle gerichtlichen Verfahren ( BGE 133 I 98 E. 2.1 und E. 2.2 S. 99 f. ; 132 I 42 E. 3.3 S. 45 f. mit Hinweisen auf die Rechtsprechung des EGMR).</w:t>
      </w:r>
    </w:p>
    <w:p>
      <w:r>
        <w:rPr>
          <w:b/>
        </w:rPr>
        <w:t>E. 1.4</w:t>
      </w:r>
    </w:p>
    <w:p>
      <w:r>
        <w:t>Das Versäumnis der fehlenden Zustellung wird von der Vorinstanz weder bestätigt noch in Abrede gestellt. Aus den Akten ergibt sich nicht, dass die Stellungnahme dem Beschwerdeführer zugestellt worden wäre. Dies ist für den Ausgang des Verfahrens entscheidend. Die Beschwerde ist unabhängig vom Inhalt des dem Beschwerdeführer vorenthaltenen Dokumentes begründet. Sie ist im Verfahren nach Art. 109 BGG gutzuheissen, der angefochtene Entscheid aufzuheben und die Sache zu neuer Entscheidung an die Vorinstanz zurückzuweisen.</w:t>
      </w:r>
    </w:p>
    <w:p>
      <w:r>
        <w:rPr>
          <w:b/>
        </w:rPr>
        <w:t>E. 2</w:t>
      </w:r>
    </w:p>
    <w:p>
      <w:r>
        <w:t>Der Beschwerdeführer obsiegt. Der im amtlichen Wirkungskreis unterliegenden Beschwerdegegnerin 1 sind keine Kosten aufzuerlegen ( Art. 66 Abs. 1 und Abs. 4 BGG ). Der Kanton Zürich ist zu verpflichten, den Rechtsvertreter des Beschwerdeführers angemessen zu entschädigen ( Art. 68 Abs. 1 und Abs. 2 BGG ). Bei diesem Ausgang ist das Gesuch des Beschwerdeführers um unentgeltliche Rechtspflege gegenstandslos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