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576/2018 vom 15. August 2018</w:t>
      </w:r>
    </w:p>
    <w:p>
      <w:r>
        <w:t>Bundesgericht, 2018-08-15, DE</w:t>
      </w:r>
    </w:p>
    <w:p>
      <w:r>
        <w:rPr>
          <w:b/>
        </w:rPr>
        <w:t xml:space="preserve">Quelle: </w:t>
      </w:r>
      <w:r>
        <w:t>https://mcp.opencaselaw.ch/entscheid/bger_6B_576_2018</w:t>
      </w:r>
    </w:p>
    <w:p>
      <w:r>
        <w:t>FR: TF 6B 576/2018 du 15 août 2018</w:t>
      </w:r>
    </w:p>
    <w:p>
      <w:r>
        <w:t>IT: TF 6B 576/2018 del 15 agosto 2018</w:t>
      </w:r>
    </w:p>
    <w:p>
      <w:pPr>
        <w:pStyle w:val="Heading2"/>
      </w:pPr>
      <w:r>
        <w:t>Regeste</w:t>
      </w:r>
    </w:p>
    <w:p>
      <w:r>
        <w:t>Einstellungsverfügung (arglistige Vermögsensschädigung, evtl. Betrug) | Strafprozess</w:t>
      </w:r>
    </w:p>
    <w:p>
      <w:pPr>
        <w:pStyle w:val="Heading2"/>
      </w:pPr>
      <w:r>
        <w:t>Erwägungen</w:t>
      </w:r>
    </w:p>
    <w:p>
      <w:r>
        <w:rPr>
          <w:b/>
        </w:rPr>
        <w:t>E. 1</w:t>
      </w:r>
    </w:p>
    <w:p>
      <w:r>
        <w:t>Die Beschwerdeführerin macht geltend, sie habe sich im Verfahren als Zivil- und Strafklägerin konstituiert. Aus den beanzeigten Delikten sowie der Beschwerdebegründung ergibt sich zudem klar, weshalb sie welche Zivilansprüche gegen den Beschuldigten geltend macht ( Art. 42 Abs. 1 und 2 BGG ). Sie bringt vor, aufgrund von dessen falschen Angaben zur Vertretungsbefugnis seien ihr Fr. 234'000.--, entsprechend 24% des Kaufpreises, bei Vertragsabwicklung je hälftig von Käufer und Verkäufer zu bezahlen, entgangen. Ausserdem seien Lagerkosten entstanden. Sie ist daher nach Art. 81 Abs. 1 lit. a und b Ziff. 5 BGG zur Beschwerde legitimiert (vgl. BGE 141 IV 1 E. 1.1 mit Hinweisen). Darauf ist einzutreten.</w:t>
      </w:r>
    </w:p>
    <w:p>
      <w:r>
        <w:rPr>
          <w:b/>
        </w:rPr>
        <w:t>E. 2</w:t>
      </w:r>
    </w:p>
    <w:p>
      <w:r>
        <w:t>Die Beschwerdeführerin rügt, die Vorinstanz verneine das Tatbestandsmerkmal der Arglist zu Unrecht. Die Verfahrenseinstellung verletzte den Grundsatz "in dubio pro duriore".</w:t>
      </w:r>
    </w:p>
    <w:p>
      <w:r>
        <w:rPr>
          <w:b/>
        </w:rPr>
        <w:t>E. 2.1.1</w:t>
      </w:r>
    </w:p>
    <w:p>
      <w:r>
        <w:t>Die Staatsanwaltschaft verfügt gemäss Art. 319 Abs. 1 lit. b StPO die Einstellung des Verfahrens, wenn kein Straftatbestand erfüllt ist. Der Entscheid über die Einstellung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mit Hinweisen). Bei der Beurteilung dieser Frage verfügen die Staatsanwaltschaft und die Vorinstanz über einen gewissen Ermessensspielraum, in den das Bundesgericht nur mit Zurückhaltung eingreift ( BGE 138 IV 86 E. 4.1).</w:t>
      </w:r>
    </w:p>
    <w:p>
      <w:r>
        <w:rPr>
          <w:b/>
        </w:rPr>
        <w:t>E. 2.1.2</w:t>
      </w:r>
    </w:p>
    <w:p>
      <w:r>
        <w:t>Arglist ist praxisgemäss zu bejahen, wenn der Täter mit einer gewissen Raffinesse oder Durchtriebenheit täuscht, namentlich, wenn er ein ganzes Lügengebäude errichtet oder sich besonderer Machenschaften oder Kniffe bedient. Einfache falsche Angaben sind arglistig, wenn deren Überprüfung nicht oder nur mit besonderer Mühe möglich oder nicht zumutbar ist und wenn der Täter das Opfer von der möglichen Überprüfung abhält oder er nach den Umständen voraussieht, dass jenes die Überprüfung der Angaben aufgrund eines besonderen Vertrauensverhältnisses unterlassen werde.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nur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 Anwendungsfälle nicht arglistiger Täuschungen betreffen in der bisherigen Rechtsprechung insbesondere Banken und sonst im Geldanlagengeschäft berufsmässig tätige Personen als potenzielle Opfer ( BGE 142 IV 153 E. 2.2.2; 135 IV 76 E. 5.2; 128 IV 18 E. 3a; je mit Hinweisen; zum Ganzen: Urteil 6B_150/2017 vom 11. Januar 2018 E. 3.3, nicht publ. in BGE 144 IV 52 ).</w:t>
      </w:r>
    </w:p>
    <w:p>
      <w:r>
        <w:rPr>
          <w:b/>
        </w:rPr>
        <w:t>E. 2.2</w:t>
      </w:r>
    </w:p>
    <w:p>
      <w:r>
        <w:t>Der Anklagesachverhalt ist unbestritten. Namentlich behauptet die Beschwerdeführerin nicht, die (fehlende) Vertretungsbefugnis des Beschuldigten für die C.________ AG im Vorfeld der Auktion überprüft oder anderweitige Vorkehren gegen eine mögliche Täuschung getroffen zu haben. Die Vorinstanz erwägt zu Recht, dass dies allein anhand eines Handelsregisterauszugs ohne Weiteres möglich gewesen wäre. Entgegen der Auffassung der Beschwerdeführerin war ihr eine entsprechende Abklärung angesichts des Mindestgebots von Fr. 950'000.-- für das Auktionsobjekt sowie ihrer geschäftsmässigen Tätigkeit als Auktionatorin zumutbar und nicht zuletzt mit Blick auf die zu vereinnahmende Provision von 24% des Kaufpreises vernünftigerweise zu erwarten. Sie behauptet auch nicht, es habe derart viele Interessenten gegeben, dass eine minimale Überprüfung der Vertretungsbefugnis des Beschuldigten etwa aus zeitlichen Gründen nicht möglich gewesen wäre. Ebenso wenig macht sie geltend oder ist ersichtlich, dass der Beschuldigte sie von einer Überprüfung abgehalten oder deren Unterlassen vorausgesehen hätte, etwa aufgrund eines besonderen Vertrauensverhältnisses. Der Einwand, wonach eine Konsultation des Handelsregisters keinen Aufschluss über die Identität und Bonität des Beschuldigten gegeben hätte und daher nutzlos gewesen wäre, geht an der Sache vorbei. Darum ging es vorliegend offensichtlich nicht. Gegenstand der Überprüfung hätte vielmehr die Vertretungsbefugnis des Beschuldigten bilden müssen, da er klarerweise für die C.________ AG auftrat. Hätte die Beschwerdeführerin das Handelsregister konsultiert, hätten daran zumindest erhebliche Zweifel bestanden, zumal als einzig zeichnungsberechtigte Person ein Dritter eingetragen war. Inwiefern sie aufgrund der Verhältnisse im Handelsregister davon ausgegangen wäre, der Beschuldigte sei zur Vertretung der C.________ AG befugt, wie sie vorbringt, ist nicht nachvollziehbar. Die von ihm angeblich behauptete Inhaber- oder Eigentümerschaft an der Gesellschaft besagt nichts über die Vertretungsbefugnis und ist bei einer AG aus dem Handelsregister ohnehin nicht ersichtlich. Indem die Beschwerdeführerin einen Einblick ins Handelsregister unterlassen und trotz der offensichtlichen (vermeintlichen) Vertreterstellung des Beschuldigten auch sonst keine Vollmacht verlangt hat, hat sie elementarste Vorsichtsmassnahmen im Geschäftsverkehr vermissen lassen. Das Verhalten des Beschuldigten ist auch nicht deshalb arglistig, weil er im Anmeldeformular zur Abgabe von telefonischen Geboten vorgab, die C.________ AG zu vertreten. Von besonderen Machenschaften kann keine Rede sein. Es handelt sich vielmehr offensichtlich um eine einfache schriftliche Lüge. Entgegen dem Einwand der Beschwerdeführerin erweckt das Formular keineswegs den Eindruck, als sei der Beschuldigte zur Vertretung der Gesellschaft befugt. Namentlich verwendete er kein Geschäftspapier, keinen Briefkopf, Stempel oder dergleichen. Er unterschrieb das Formular auch nicht "in Vertretung" der Gesellschaft. Diese erscheint mithin nicht als Ausstellerin der Erklärung, wie die Beschwerdeführerin behauptet (MARKUS BOOG, in: Basler Kommentar, Strafrecht II, 3. Aufl. 2013 N. 14 ff. zu Art. 251 StGB ). Unter diesen Umständen waren die kantonalen Behörden nicht gehalten, den Tatbestand der Urkundenfälschung zu prüfen. Darin liegt keine Verletzung des Verfolgungszwangs gemäss Art. 7 StPO . Ebenso wenig überschreiten sie das ihnen mit Blick auf Art. 319 StPO zustehende Ermessen bzw. Bundesrecht, wenn sie zum Schluss gelangen, die Wahrscheinlichkeit eines Freispruchs überwiege diejenige eines Schuldspruchs klar, sodass das Verfahren einzustellen sei.</w:t>
      </w:r>
    </w:p>
    <w:p>
      <w:r>
        <w:rPr>
          <w:b/>
        </w:rPr>
        <w:t>E. 3</w:t>
      </w:r>
    </w:p>
    <w:p>
      <w:r>
        <w:t>Die Beschwerde ist abzuweisen.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