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6B_576/2008 vom 28. November 2008</w:t>
      </w:r>
    </w:p>
    <w:p>
      <w:r>
        <w:t>Bundesgericht, 2008-11-28, FR</w:t>
      </w:r>
    </w:p>
    <w:p>
      <w:r>
        <w:rPr>
          <w:b/>
        </w:rPr>
        <w:t xml:space="preserve">Quelle: </w:t>
      </w:r>
      <w:r>
        <w:t>https://mcp.opencaselaw.ch/entscheid/bger_6B_576_2008</w:t>
      </w:r>
    </w:p>
    <w:p>
      <w:r>
        <w:t>FR: TF 6B_576/2008 du 28 novembre 2008</w:t>
      </w:r>
    </w:p>
    <w:p>
      <w:r>
        <w:t>IT: TF 6B_576/2008 del 28 novembre 2008</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se plaint d'avoir été condamné à une peine privative de liberté au lieu d'une peine pécuniaire, en violation des art. 34 ss CP , des art. 8 et 31 Cst. et du principe de la proportionnalité.</w:t>
      </w:r>
    </w:p>
    <w:p>
      <w:r>
        <w:rPr>
          <w:b/>
        </w:rPr>
        <w:t>E. 2.1</w:t>
      </w:r>
    </w:p>
    <w:p>
      <w:r>
        <w:t>Il apparaît d'emblée que les griefs de violation des art. 8 et 31 Cst. n'ont pas en l'espèce de portée propre par rapport au grief de violation des art. 34 ss CP , dès lors qu'ils ne sont invoqués que comme une conséquence de la violation de ces dernières dispositions. De même, le grief de violation du principe de la proportionnalité, qui n'est d'ailleurs pas étayé par une argumentation distincte, se confond avec celui pris d'une violation de la loi pénale matérielle.</w:t>
      </w:r>
    </w:p>
    <w:p>
      <w:r>
        <w:rPr>
          <w:b/>
        </w:rPr>
        <w:t>E. 2.2</w:t>
      </w:r>
    </w:p>
    <w:p>
      <w:r>
        <w:t>La principale infraction reprochée au recourant, soit un vol au sens de l' art. 139 ch. 1 CP , est passible d'une peine privative de liberté de cinq ans au plus ou d'une peine pécuniaire. Elle a été sanctionnée par une privation de liberté de 7 mois, ce qui la situe au bas de l'échelle de la moyenne criminalité. Cette quotité, que le recourant ne remet pas en cause en instance fédérale, exclut par ailleurs la possibilité d'une substitution d'un travail d'intérêt général à une peine pécuniaire ( art. 37 al. 1 CP ). Enfin, la sanction prononcée a été assortie du sursis, dont le recourant pourrait donc aussi bénéficier s'il devait être condamné à une peine pécuniaire. On se trouve ainsi dans un cas où entrent, alternativement, en considération une peine privative de liberté et une peine pécuniaire, la seule question qui se pose étant de savoir si c'est à tort ou à raison que les juges cantonaux, notamment au vu des motifs pour lesquels ils l'ont fait, ont prononcé une peine privative de liberté plutôt qu'une peine pécuniaire.</w:t>
      </w:r>
    </w:p>
    <w:p>
      <w:r>
        <w:rPr>
          <w:b/>
        </w:rPr>
        <w:t>E. 2.3</w:t>
      </w:r>
    </w:p>
    <w:p>
      <w:r>
        <w:t>D'après la conception des nouvelles dispositions de la partie générale du code pénal, la peine pécuniaire constitue la sanction principale dans le domaine de la petite et moyenne criminalité (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 ATF 134 IV 97 consid. 4.2.2 p. 101/102, 60 consid. 4.3 p. 65).</w:t>
      </w:r>
    </w:p>
    <w:p>
      <w:r>
        <w:t>Le choix du type de sanction doit être opéré en tenant compte au premier chef de l'adéquation d'une sanction déterminée, de ses effets sur l'auteur et sur sa situation sociale ainsi que de son efficacité du point de vue de la prévention ( ATF 134 IV 97 consid. 4.2 p. 100, 82 consid. 4.1 p. 84/85). La situation économique de l'auteur ou le fait que son insolvabilité apparaît prévisible ne constituent en revanche pas des critères pertinents pour choisir la nature de la sanction ( ATF 134 IV 97 consid. 5.2.3 p. 104).</w:t>
      </w:r>
    </w:p>
    <w:p>
      <w:r>
        <w:t>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 ATF 134 IV 97 consid. 5.2.3 p. 104/105).</w:t>
      </w:r>
    </w:p>
    <w:p>
      <w:r>
        <w:rPr>
          <w:b/>
        </w:rPr>
        <w:t>E. 2.4</w:t>
      </w:r>
    </w:p>
    <w:p>
      <w:r>
        <w:t>La cour cantonale a motivé son choix de prononcer une peine privative de liberté au lieu d'une peine pécuniaire par le fait que le recourant, si le sursis qui lui a été octroyé devait être révoqué, se trouverait placé dans une situation encore plus difficile, compte tenu de son endettement considérable.</w:t>
      </w:r>
    </w:p>
    <w:p>
      <w:r>
        <w:t>Ce raisonnement ne peut être suivi. La situation économique de l'auteur ne constitue pas un critère pertinent pour le choix de la nature de la sanction (cf. supra, consid. 2.3; ATF 134 IV 97 consid. 5.2.3 p. 104). Moins encore peut-elle, à elle seule, déterminer ce choix. Même très obérée ou susceptible de le devenir encore plus, la situation économique du condamné ne saurait donc justifier le prononcé d'une peine privative de liberté au lieu d'une peine pécuniaire. Admettre le contraire irait à l'encontre de la volonté du législateur. Lorsqu'il apparaît que le prononcé d'une peine pécuniaire aura pour effet d'aggraver la situation économique déjà précaire de l'auteur, c'est dans le calcul du montant du jour-amende qu'il y a lieu d'en tenir compte, des facilités de paiement pouvant en outre être accordées (cf. art. 35 al. 1 CP ). Le risque d'une telle aggravation ne saurait en revanche influer sur le choix de la nature de la sanction.</w:t>
      </w:r>
    </w:p>
    <w:p>
      <w:r>
        <w:t>A l'appui de la solution qu'elle a adoptée, la cour cantonale se prévaut vainement de ce qu'il doit être tenu compte de l'effet de la peine sur l'auteur, soit, en l'occurrence, de la péjoration de la situation financière déjà mauvaise du recourant qu'entraînerait pour lui le prononcé d'une peine pécuniaire. En soi, une peine pécuniaire, qui atteint l'auteur dans son patrimoine, constitue une sanction moins grave qu'une peine privative de liberté, qui l'atteint dans sa liberté personnelle. Le fait que le recourant se trouverait dans une situation financière plus difficile serait en réalité la conséquence, non pas du prononcé d'une peine pécuniaire, mais de la révocation du sursis qui lui a été accordé. Or, si ce dernier devait être révoqué, le recourant devrait exécuter la peine privative de liberté qui lui a été infligée, ce qui ne lui serait certes pas plus favorable.</w:t>
      </w:r>
    </w:p>
    <w:p>
      <w:r>
        <w:t>Sur le vu de ce qui précède, l'arrêt attaqué viole le droit fédéral en tant qu'il condamne le recourant à une peine privative de liberté au lieu d'une peine pécuniaire.</w:t>
      </w:r>
    </w:p>
    <w:p>
      <w:r>
        <w:rPr>
          <w:b/>
        </w:rPr>
        <w:t>E. 3</w:t>
      </w:r>
    </w:p>
    <w:p>
      <w:r>
        <w:t>Le recours doit ainsi être admis, l'arrêt attaqué annulé et la cause renvoyée à l'autorité cantonale pour nouvelle décision dans le sens des considérants.</w:t>
      </w:r>
    </w:p>
    <w:p>
      <w:r>
        <w:t>Vu l'issue du recours, il ne sera pas perçu de frais (cf. art. 66 al. 1 LTF ) et le canton de Neuchâtel versera au recourant une indemnité de dépens pour la procédure devant le Tribunal fédéral ( art. 68 al. 1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