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6B_575/2022 vom 20. Oktober 2022</w:t>
      </w:r>
    </w:p>
    <w:p>
      <w:r>
        <w:t>Bundesgericht, 2022-10-20, FR</w:t>
      </w:r>
    </w:p>
    <w:p>
      <w:r>
        <w:rPr>
          <w:b/>
        </w:rPr>
        <w:t xml:space="preserve">Quelle: </w:t>
      </w:r>
      <w:r>
        <w:t>https://mcp.opencaselaw.ch/entscheid/bger_6B_575_2022</w:t>
      </w:r>
    </w:p>
    <w:p>
      <w:r>
        <w:t>FR: TF 6B_575/2022 du 20 octobre 2022</w:t>
      </w:r>
    </w:p>
    <w:p>
      <w:r>
        <w:t>IT: TF 6B_575/2022 del 20 ottobre 2022</w:t>
      </w:r>
    </w:p>
    <w:p>
      <w:pPr>
        <w:pStyle w:val="Heading2"/>
      </w:pPr>
      <w:r>
        <w:t>Erwägungen</w:t>
      </w:r>
    </w:p>
    <w:p>
      <w:r>
        <w:rPr>
          <w:b/>
        </w:rPr>
        <w:t>E. 1</w:t>
      </w:r>
    </w:p>
    <w:p>
      <w:r>
        <w:t>Par arrêt du 1er décembre 2021, la Chambre des recours pénale du Tribunal cantonal vaudois a rejeté le recours formé par A.A.________ contre l'ordonnance du 11 octobre 2021 par laquelle le Ministère public de l'arrondissement de l'Est vaudois a classé la procédure pénale dirigée contre B.A.________ pour diffamation et dénonciation calomnieuse.</w:t>
      </w:r>
    </w:p>
    <w:p>
      <w:r>
        <w:rPr>
          <w:b/>
        </w:rPr>
        <w:t>E. 2</w:t>
      </w:r>
    </w:p>
    <w:p>
      <w:r>
        <w:t>A.A.________ forme un recours au Tribunal fédéral contre l'arrêt précité. Il conclut, avec suite de frais et dépens, principalement, à la réforme de celui-ci de sorte que l'ordonnance de classement du 11 octobre 2021 est annulée, la cause renvoyée au Ministère public de l'arrondissement de l'Est vaudois pour complément d'instruction dans le sens des considérants, les frais de justice sont laissés à la charge de l'État et des dépens d'un montant de 1500 fr. lui sont alloués. Subsidiairement, il conclut à l'annulation de l'arrêt attaqué et au renvoi de la cause à l'autorité précédente pour nouvelle décision au sens des considérants.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la partie plaignante n'a pas nécessairement déjà pris des conclusions civiles. Quand bien même la partie plaignante aurait déjà déclaré des conclusions civiles ( art. 119 al. 2 let. b CPP ), il n'en reste pas moins que le procureur qui refuse d'entrer en matière ou prononce un classement n'a pas à statuer sur l'aspect civil (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qu'on puisse le déduire directement et sans ambiguïté compte tenu notamment de la nature de l'infraction alléguée ( ATF 141 IV 1 consid. 1.1).</w:t>
      </w:r>
    </w:p>
    <w:p>
      <w:r>
        <w:t>Les mêmes exigences sont requises à l'égard de celui qui se plaint d'infractions attentatoires à l'honneur (arrêts 6B_875/2022 du 5 octobre 2022 consid. 1.1; 6B_89/2022 du 2 juin 2022 consid. 1.1; 6B_1043/2019 du 26 septembre 2019 consid. 2.1; 6B_637/2019 du 8 août 2019 consid. 1.2).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6B_89/2022 précité consid. 1.1; 6B_1043/2019 précité consid. 2.1; 6B_637/2019 précité consid. 1.2).</w:t>
      </w:r>
    </w:p>
    <w:p>
      <w:r>
        <w:rPr>
          <w:b/>
        </w:rPr>
        <w:t>E. 4</w:t>
      </w:r>
    </w:p>
    <w:p>
      <w:r>
        <w:t>En l'espèce, le recourant ne consacre aucun développement à son éventuel dommage ou tort moral, ni sur leur principe, ni sur leur quotité. L'absence d'explications sur la question des prétentions civiles exclut sa qualité pour recourir sur le fond de la cause.</w:t>
      </w:r>
    </w:p>
    <w:p>
      <w:r>
        <w:rPr>
          <w:b/>
        </w:rPr>
        <w:t>E. 5</w:t>
      </w:r>
    </w:p>
    <w:p>
      <w:r>
        <w:t>On recherche, pour le surplus, vainement dans le recours l'invocation d'une violation d'un droit de procédure entièrement séparé du fond équivalant à un déni de justice formel (cf. ATF 141 IV 1 consid. 1.1; 136 IV 29 consid. 1.9 et les références citées) ou d'une violation du droit à la plainte (art. 81 al. 1 let. a et b ch. 6 LTF). Le recourant n'a dès lors pas qualité pour recourir sous ces deux angles non plus.</w:t>
      </w:r>
    </w:p>
    <w:p>
      <w:r>
        <w:rPr>
          <w:b/>
        </w:rPr>
        <w:t>E. 6</w:t>
      </w:r>
    </w:p>
    <w:p>
      <w:r>
        <w:t>L'irrecevabilité du recours est manifeste, elle doit être constatée dans la procédure prévue par l' art. 108 al. 1 let. a 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