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6B_575/2007 vom 10. November 2007</w:t>
      </w:r>
    </w:p>
    <w:p>
      <w:r>
        <w:t>Bundesgericht, 2007-11-10, DE</w:t>
      </w:r>
    </w:p>
    <w:p>
      <w:r>
        <w:rPr>
          <w:b/>
        </w:rPr>
        <w:t xml:space="preserve">Quelle: </w:t>
      </w:r>
      <w:r>
        <w:t>https://mcp.opencaselaw.ch/entscheid/bger_6B_575_2007</w:t>
      </w:r>
    </w:p>
    <w:p>
      <w:r>
        <w:t>FR: TF 6B_575/2007 du 10 novembre 2007</w:t>
      </w:r>
    </w:p>
    <w:p>
      <w:r>
        <w:t>IT: TF 6B_575/2007 del 10 novembre 2007</w:t>
      </w:r>
    </w:p>
    <w:p>
      <w:pPr>
        <w:pStyle w:val="Heading2"/>
      </w:pPr>
      <w:r>
        <w:t>Erwägungen</w:t>
      </w:r>
    </w:p>
    <w:p>
      <w:r>
        <w:rPr>
          <w:b/>
        </w:rPr>
        <w:t>E. 1</w:t>
      </w:r>
    </w:p>
    <w:p>
      <w:r>
        <w:t>Der Beschwerdeführer wendet sich mit Beschwerde in Strafsachen gegen ein Urteil des Obergerichts des Kantons Glarus vom 23. August 2007, mit dem der Schuldspruch wegen Verstosses gegen das Gewässerschutzgesetz zwar bestätigt, die Strafzumessung jedoch zur Neubeurteilung an das Kantonsgericht zurückgewiesen wurde. Gemäss Dispositiv hat das Obergericht den kantonsgerichtlichen Entscheid (vollumfänglich) aufgehoben und die Sache zur neuen Entscheidung im Sinne der Erwägungen an das Kantonsgericht zurückgewiesen.</w:t>
      </w:r>
    </w:p>
    <w:p>
      <w:r>
        <w:rPr>
          <w:b/>
        </w:rPr>
        <w:t>E. 2</w:t>
      </w:r>
    </w:p>
    <w:p>
      <w:r>
        <w:t>Beim angefochtenen Urteil geht es um einen kantonalen Rückweisungsentscheid. Da die Rückweisung das Verfahren nicht zum Abschluss bringt, liegt kein Endentscheid im Sinne von Art. 90 BGG vor. Ebenso wenig handelt es sich hier um einen Teilentscheid, weil nicht über einen unabhängigen Teil der Begehren gemäss Art. 91 lit. a BGG entschieden wurde. Schliesslich liegt auch kein anfechtbarer "Vor- oder Zwischenentscheid" im Sinne von Art. 93 BGG vor. Für die Anfechtung von solchen Entscheiden reicht im Vergleich zur Nichtigkeitsbeschwerde nicht aus, dass eine für den Ausgang der Sache präjudizielle Frage des Bundesrechts definitiv entschieden wurde. Vielmehr müssen alternativ die zusätzlichen Voraussetzungen des nicht wieder gutzumachenden Nachteils (lit. a) oder der bedeutenden Zeit-/Kostenersparnis durch Herbeiführung eines Endentscheids (lit. b) gegeben sein. Diese Voraussetzungen sind hier nicht erfüllt. Weder bewirkt das obergerichtliche Urteil für den Beschwerdeführer einen nicht wieder gutzumachenden Nachteil rechtlicher Natur im Sinne von lit. a noch liesse sich mit der Gutheissung der Beschwerde - trotz Herbeiführung eines Endentscheids - ein bedeutender Aufwand an Zeit oder Kosten für ein weitläufiges Beweisverfahren im Sinne von lit. b ersparen (vgl. BGE 133 IV 137 E. 2.3 sowie Urteil 6B_71/2007 vom 31. Mai 2007 E. 2.3). Da es mithin an einem tauglichen Anfechtungsojekt fehlt, ist auf die Beschwerde im Verfahren nach Art. 108 BGG nicht einzutreten.</w:t>
      </w:r>
    </w:p>
    <w:p>
      <w:r>
        <w:rPr>
          <w:b/>
        </w:rPr>
        <w:t>E. 3</w:t>
      </w:r>
    </w:p>
    <w:p>
      <w:r>
        <w:t>Ausgangsgemäss ist die Gerichtsgebühr dem Beschwerdeführer aufzuerlegen ( Art. 66 Abs.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