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574/2022 vom 15. Juni 2022</w:t>
      </w:r>
    </w:p>
    <w:p>
      <w:r>
        <w:t>Bundesgericht, 2022-06-15, DE</w:t>
      </w:r>
    </w:p>
    <w:p>
      <w:r>
        <w:rPr>
          <w:b/>
        </w:rPr>
        <w:t xml:space="preserve">Quelle: </w:t>
      </w:r>
      <w:r>
        <w:t>https://mcp.opencaselaw.ch/entscheid/bger_6B_574_2022</w:t>
      </w:r>
    </w:p>
    <w:p>
      <w:r>
        <w:t>FR: TF 6B 574/2022 du 15 juin 2022</w:t>
      </w:r>
    </w:p>
    <w:p>
      <w:r>
        <w:t>IT: TF 6B 574/2022 del 15 giugno 2022</w:t>
      </w:r>
    </w:p>
    <w:p>
      <w:pPr>
        <w:pStyle w:val="Heading2"/>
      </w:pPr>
      <w:r>
        <w:t>Regeste</w:t>
      </w:r>
    </w:p>
    <w:p>
      <w:r>
        <w:t>Einstellung (Nötigung, Rufschädigung sowie allenfalls Täuschung); Nichteintreten | Strafprozess</w:t>
      </w:r>
    </w:p>
    <w:p>
      <w:pPr>
        <w:pStyle w:val="Heading2"/>
      </w:pPr>
      <w:r>
        <w:t>Erwägungen</w:t>
      </w:r>
    </w:p>
    <w:p>
      <w:r>
        <w:rPr>
          <w:b/>
        </w:rPr>
        <w:t>E. 1</w:t>
      </w:r>
    </w:p>
    <w:p>
      <w:r>
        <w:t>A.________ erstattete am 9. Oktober 2018 bei der Staatsanwaltschaft Zürich-Limmat Strafanzeige gegen die B.________ AG und die C.________ AG bzw. die für die Geschäftsführung verantwortlichen Personen wegen "Nötigung, Rufschädigung sowie allenfalls Täuschung". Er wirft den Beanzeigten vor, ihn unter Androhung von "rechtlichen Schritten" und "unnötigen Mehrkosten" (Eintragung in Bonitätsdatenbank; stetig steigender Schuldbetrag) zur Rückzahlung eines von der B.________ AG irrtümlich auf sein Konto überwiesenen Geldbetrags von rund Fr. 6'600.-- angehalten zu haben. Nach zwei Rechtsgängen an das Obergericht des Kantons Zürich, in welchen A.________ die Nichtanhandnahme eines Strafverfahrens gegen die B.________ AG erfolgreich angefochten hatte, erliess die Staatsanwaltschaft am 1. Dezember 2020 in Bezug auf die B.________ AG bzw. deren verantwortlichen natürlichen Personen eine Einstellungsverfügung. Eine von A.________ dagegen erhobene Beschwerde wies das Obergericht am 4. April 2022 ab. A.________ gelangt an das Bundesgericht.</w:t>
      </w:r>
    </w:p>
    <w:p>
      <w:r>
        <w:rPr>
          <w:b/>
        </w:rPr>
        <w:t>E. 2.1</w:t>
      </w:r>
    </w:p>
    <w:p>
      <w:r>
        <w:t>Gemäss Art. 81 Abs. 1 lit. b Ziff. 5 BGG ist die Privatklägerschaft zur Beschwerde in Strafsachen nur berechtigt, wenn der angefochtene Entscheid sich auf die Beurteilung ihrer Zivilansprüche auswirken kann. Als Zivilansprüche im Sinne der genannten Bestimmung gelten solche, die ihren Grund im Zivilrecht haben und deshalb ordentlicherweise vor dem Zivilgericht durchgesetzt werden müssen. In erster Linie handelt es sich um Ansprüche auf Schadenersatz und Genugtuung nach Art. 41 ff. OR ( BGE 146 IV 76 E. 3.1).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mit Hinweisen).</w:t>
      </w:r>
    </w:p>
    <w:p>
      <w:r>
        <w:rPr>
          <w:b/>
        </w:rPr>
        <w:t>E. 2.2</w:t>
      </w:r>
    </w:p>
    <w:p>
      <w:r>
        <w:t>Der Beschwerdeführer äussert sich vor Bundesgericht nicht zu seiner Legitimation als Privatkläger und zur Frage der Zivilforderung. Er benennt in seiner Beschwerde keine konkreten Zivilforderungen, die ihm unmittelbar aufgrund der angeblichen Straftat zustehen könnten, und legt auch nicht dar, dass und inwiefern sich der abschliessende Entscheid der Vorinstanz über die Einstellung auf allfällige Zivilansprüche auswirken könnte. Davon abgesehen hat der Beschwerdeführer den eingeforderten Betrag laut den unbeanstandeten und somit verbindlichen Feststellungen der Vorinstanz (vgl. Art. 105 Abs. 1 BGG ) nicht bezahlt (angefochtener Entscheid E. I.1), weshalb auch nicht ohne Weiteres ersichtlich ist, dass und inwieweit ihm Schaden entstanden sein könnte. Sollte er - was aufgrund der Eintragung in einer Bonitätsdatenbank allenfalls denkbar ist - eine Rufschädigung geltend machen, bliebe ebenfalls unklar, welche konkreten Schadenersatzforderungen er daraus ableiten möchte. Genugtuungsforderungen bestehen im Übrigen nur, wenn es die Schwere der Verletzung rechtfertigt; der Eingriff muss aussergewöhnlich schwer sein und in seinen Auswirkungen das Mass einer Aufregung oder einer alltäglichen Sorge klar übersteigen. Welche Genugtuungsforderungen der Beschwerdeführer geltend machen will, legt er nicht dar und ist gestützt auf die Umstände des konkreten Falls und die Natur der behaupteten Straftat auch nicht ohne Weiteres ersichtlich. Die Beschwerde vermag damit den Begründungsanforderungen von Art. 81 Abs. 1 lit. b Ziff. 5 BGG offensichtlich nicht zu genügen.</w:t>
      </w:r>
    </w:p>
    <w:p>
      <w:r>
        <w:rPr>
          <w:b/>
        </w:rPr>
        <w:t>E. 3.1</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je mit Hinweisen). Ein in der Sache nicht legitimierter Beschwerdeführer kann deshalb weder die Beweiswürdigung kritisieren, noch kann er geltend machen, die Begründung sei materiell unzutreffend (Urteil 6B_679/2021 vom 2. Mai 2022; vgl. auch BGE 136 IV 41 E. 1.4; je mit Hinweisen).</w:t>
      </w:r>
    </w:p>
    <w:p>
      <w:r>
        <w:rPr>
          <w:b/>
        </w:rPr>
        <w:t>E. 3.2</w:t>
      </w:r>
    </w:p>
    <w:p>
      <w:r>
        <w:t>Der Beschwerdeführer macht keine solchen formellen Rügen geltend. Soweit er die Nichtbeachtung eines Schreibens vom 1. Oktober 2018 sowie die fehlende Abklärung des Einflusses der B.________ AG auf das Vorgehen der C.________ AG bemängelt und insofern seinen Anspruch auf rechtliches Gehör verletzt sieht, zielt seine Kritik auf eine unzulässige materielle Überprüfung des angefochtenen Entscheids ab. Daran ändert nichts, dass die von der Staatsanwaltschaft in Nachachtung des vorangegangen Beschlusses des Obergerichts vom 5. Februar 2020 angeordneten Beweismassnahmen, die verantwortlichen natürlichen Personen der B.________ AG ausfindig zu machen und zu befragen, von der Polizei nicht vorgenommen wurden (vgl. angefochtener Entscheid E. II.3.4 S. 7). Indem der Beschwerdeführer den von der Vorinstanz diesbezüglich gezogenen Schluss kritisiert, wonach trotz der unterbliebenen Ermittlungshandlungen gesagt werden könne, die Wahrscheinlichkeit eines Freispruchs erscheine erheblich höher als jene eines Schuldspruchs (vgl. angefochtener Entscheid E. II.3.6 in fine S. 10), beanstandet er im Ergebnis die vorinstanzliche Würdigung in der Sache, wozu er nicht befugt ist. Wenn er ferner eine mehrfache Verletzung des Grundsatzes von Treu und Glauben rügt, bezieht er sich alsdann auf einen Verfahrensgrundsatz, nicht aber auf konkrete Verfahrensrechte. Mit der geltend gemachten Verletzung dieses Grundsatzes erhebt er folglich ebenso keine formelle Rüge im Sinne einer Rechtsverweigerung.</w:t>
      </w:r>
    </w:p>
    <w:p>
      <w:r>
        <w:rPr>
          <w:b/>
        </w:rPr>
        <w:t>E. 4</w:t>
      </w:r>
    </w:p>
    <w:p>
      <w:r>
        <w:t>Auf die Beschwerde ist mangels hinreichender Begründung der Legitimation im Verfahren nach Art. 108 BGG nicht einzutreten. Ausgangsgemäss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