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572/2016 vom 26. Juni 2017</w:t>
      </w:r>
    </w:p>
    <w:p>
      <w:r>
        <w:t>Bundesgericht, 2017-06-26, FR</w:t>
      </w:r>
    </w:p>
    <w:p>
      <w:r>
        <w:rPr>
          <w:b/>
        </w:rPr>
        <w:t xml:space="preserve">Quelle: </w:t>
      </w:r>
      <w:r>
        <w:t>https://mcp.opencaselaw.ch/entscheid/bger_6B_572_2016</w:t>
      </w:r>
    </w:p>
    <w:p>
      <w:r>
        <w:t>FR: TF 6B 572/2016 du 26 juin 2017</w:t>
      </w:r>
    </w:p>
    <w:p>
      <w:r>
        <w:t>IT: TF 6B 572/2016 del 26 giugno 2017</w:t>
      </w:r>
    </w:p>
    <w:p>
      <w:pPr>
        <w:pStyle w:val="Heading2"/>
      </w:pPr>
      <w:r>
        <w:t>Regeste</w:t>
      </w:r>
    </w:p>
    <w:p>
      <w:r>
        <w:t>Ordonnance de non-entrée en matière (abus d'autorité, etc.) | Procédure pénale</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Le jugement querellé est un jugement final ( art. 90 LTF ) rendu dans une cause de droit pénal. Il est donc susceptible de faire l'objet d'un recours en matière pénale ( art. 78 ss LTF ), qui peut notamment être formé pour violation du droit fédéral, y compris des droits constitutionnels ( art. 95 let. a LTF ), ou violation du droit international ( art. 95 let. b LTF ), dont la Convention européenne de sauvegarde des droits de l'homme et des libertés fondamentales (CEDH; RS 0.101). Le recours constitutionnel subsidiaire est donc exclu ( art. 113 LTF a contrario).</w:t>
      </w:r>
    </w:p>
    <w:p>
      <w:r>
        <w:rPr>
          <w:b/>
        </w:rPr>
        <w:t>E. 1.2</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 Lorsque, comme en l'espèce, le recours est dirigé contre une décision de non-entrée en matière, la partie plaignante doit expliquer dans son mémoire quelles prétentions civiles elle entend faire valoir - à moins que cela n'apparaisse évident - et en quoi la décision attaquée pourrait influencer négativement leur jugement ( ATF 141 IV 1 consid. 1.1 p. 4).</w:t>
      </w:r>
    </w:p>
    <w:p>
      <w:r>
        <w:rPr>
          <w:b/>
        </w:rPr>
        <w:t>E. 1.3</w:t>
      </w:r>
    </w:p>
    <w:p>
      <w:r>
        <w:t>Les actes dénoncés par le recourant sont le fait de gendarmes, soit d'agents de l'Etat. Le droit cantonal genevois instaure (cf. art. 2 de la loi genevoise sur la responsabilité de l'Etat et des communes; LREC; RS GE A 2 40), comme le permet l' art. 61 al. 1 CO , une responsabilité exclusive de la collectivité publique en cas d'acte illicite de ses agents. Le plaignant ne dispose donc que d'une prétention de droit public, non pas contre l'auteur présumé, mais contre l'Etat. Selon la jurisprudence constante, une telle prétention ne peut être invoquée dans le procès pénal par voie d'adhésion et ne constitue dès lors pas une prétention civile au sens des dispositions précitées ( ATF 138 IV 86 consid. 3.1 p. 88; 133 IV 228 consid. 2.3.3 p. 234; 128 IV 188 consid. 2). Le recourant admet lui-même qu'il n'est pas fondé à faire valoir des prétentions civiles contre les gendarmes qu'il entend mettre en cause.</w:t>
      </w:r>
    </w:p>
    <w:p>
      <w:r>
        <w:rPr>
          <w:b/>
        </w:rPr>
        <w:t>E. 1.4</w:t>
      </w:r>
    </w:p>
    <w:p>
      <w:r>
        <w:t>La jurisprudence reconnaît toutefois aux personnes qui se prétendent victimes de traitements cruels, inhumains ou dégradant (au sens notamment de l' art. 3 CEDH ) le droit de porter plainte et d'obtenir une enquête prompte et impartiale devant aboutir, s'il y a lieu, à la condamnation pénale des responsables. La victime de tels traitements peut également bénéficier d'un droit de recours contre l'abandon des poursuites ( ATF 138 IV 86 consid. 3.1 p. 88; cf. récemment: arrêt 6B_123/2017 du 24 mars 2017 consid. 1.2.2). Pour être couvert par l' art. 3 CEDH ,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(arrêts 6B_123/2017 du 24 mars 2017 consid. 1.2.2; 6B_474/2013 du 23 août 2013 consid. 1.4 et les références citées).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 3 CEDH et 10 al. 3 Cst. (arrêts 6B_147/2016 du 12 octobre 2016 consid. 1.2; 6B_474/2013 du 23 août 2013 consid. 1.4 et les références citées). L'allégation d'un traitement prohibé par l' art. 3 CEDH est défendable lorsqu'elle ne se révèle pas d'emblée dépourvue de crédibilité (arrêt 6B_147/2016 du 12 octobre 2016 consid. 1.2; cf. aussi arrêt 6B_362/2009 du 13 juillet 2009 consid. 1.1 publié in PJA 2009 p. 1479 s.).</w:t>
      </w:r>
    </w:p>
    <w:p>
      <w:r>
        <w:rPr>
          <w:b/>
        </w:rPr>
        <w:t>E. 1.5</w:t>
      </w:r>
    </w:p>
    <w:p>
      <w:r>
        <w:t>En l'espèce, le recourant invoque, pour fonder sa qualité pour recourir, une violation des art. 3, 5 et 13 CEDH . Il se dit victime d'un traitement inhumain et dégradant relatif à la durée de la mesure de contrainte subie, l'arrêt querellé retenant ( art. 105 al. 1 LTF ) qu'il a été maintenu menotté entre 2h00 et 9h00, soit durant sept heures environ. Il se plaint également de la privation de liberté qu'il a subie. Au stade de l'examen de la recevabilité et sans préjuger le fond, il y a lieu d'admettre, s'agissant du port des menottes, que la durée de la mesure de contrainte retenue par la cour cantonale ne prive pas d'emblée de crédibilité l'allégation d'un traitement prohibé au sens de l' art. 3 CEDH . Le recours en matière pénale doit par conséquent être déclaré recevable. Compte tenu de ce qui précède, la question de savoir si le recourant peut également fonder sa qualité pour recourir sous l'angle de l' art. 5 CEDH en rapport avec la privation de liberté dont il se plaint peut rester indécise.</w:t>
      </w:r>
    </w:p>
    <w:p>
      <w:r>
        <w:rPr>
          <w:b/>
        </w:rPr>
        <w:t>E. 2</w:t>
      </w:r>
    </w:p>
    <w:p>
      <w:r>
        <w:t>Le recourant invoque ensuite une violation de l' art. 310 CPP , mais aussi des 123 CP, 181 CP et 312 CP, en lien avec avec les art. 14 CP et 200 CPP, respectivement des art. 3, 5 et 13 CEDH .</w:t>
      </w:r>
    </w:p>
    <w:p>
      <w:r>
        <w:rPr>
          <w:b/>
        </w:rPr>
        <w:t>E. 2.1.1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 art. 306 et 307 CPP ) - même diligentées à l'initiative du procureur - si les conditions de l' art. 310 al. 1 let. a CPP sont réunies (arrêt 1B_183/2012 du 20 novembre 2012 consid. 3). Selon la jurisprudence, cette disposition doit être appliquée conformément à l'adage in dubio pro duriore (arrêt 6B_127/2013 du 3 septembre 2013 consid. 4.1). Celui-ci découle du principe de la légalité ( art. 5 al. 1 Cst. et 2 al. 1 CPP en relation avec les art. 309 al. 1, 319 al. 1 et 324 CPP; ATF 138 IV 86 consid. 4.2 p. 91; cf. encore récemment: arrêt 6B_224/2016 du 3 janvier 2017 consid. 2.1.1)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 s.; arrêt 6B_224/2016 du 3 janvier 2017 consid. 2.1.1).</w:t>
      </w:r>
    </w:p>
    <w:p>
      <w:r>
        <w:rPr>
          <w:b/>
        </w:rPr>
        <w:t>E. 2.1.2</w:t>
      </w:r>
    </w:p>
    <w:p>
      <w:r>
        <w:t>Selon la jurisprudence de la Cour européenne des droits de l'homme, le port des menottes ne pose normalement pas de problème au regard de l'article 3 CEDH lorsqu'il est lié à une arrestation ou à une détention légale et n'entraîne pas l'usage de la force ou une exposition publique au-delà de ce qui est raisonnablement considéré comme nécessaire dans les circonstances de l'espèce. A cet égard, il importe de déterminer si l'intéressé opposera une résistance à l'arrestation, ou tentera de fuir ou de provoquer des blessures ou des dommages (arrêts de la CourEDH Portmann c. Suisse du 11 octobre 2011, § 47; Ö calan c. Turquie du 12 mai 2005, § 182; Raninen c. Finlande du 16 décembre 1997, § 56).</w:t>
      </w:r>
    </w:p>
    <w:p>
      <w:r>
        <w:rPr>
          <w:b/>
        </w:rPr>
        <w:t>E. 2.2</w:t>
      </w:r>
    </w:p>
    <w:p>
      <w:r>
        <w:t>Le recourant reconnaît lui-même que l'usage de la force était nécessaire pour le faire réintégrer une cellule du poste de A.________ après qu'il s'en fut échappé en en descellant la vitre. De son propre aveu, cet usage de la force était légitime puisque, selon les termes qui sont les siens, il venait de commettre un dommage à la propriété justifiant son arrestation provisoire. En revanche, rien ne pouvait, selon lui, justifier qu'il restât menotté une fois placé à nouveau en cellule. La cour cantonale a, quant à elle, rappelé que le recourant n'avait été menotté qu'après avoir tenté de s'échapper des violons du poste de A.________, pour pallier un risque de récidive, puisqu'il était parvenu à desceller la vitre de la porte de sa cellule. Elle a également évoqué son état d'énervement, de même que les gestes sexuellement connotés tentés par lui durant son premier transport pour justifier le maintien des entraves durant le second, qui, d'après l'arrêt querellé, s'est déroulé aux alentours de 4h30. La cour cantonale a ensuite tenu pour constant que le recourant était resté menotté dans le violon jusqu'à l'arrivée du médecin à 9h00. Elle a considéré que cette mesure paraissait justifiée, compte tenu du contexte général de l'appréhension du recourant, de son comportement avec la première patrouille de police, puis dans la cellule de dégrisement. Les propos équivoques tenus par le recourant dès son arrivée au poste de B.________ laissait entendre qu'il pourrait s'en prendre à sa propre personne ou envisager une nouvelle tentative de fuite. Pour la cour cantonale, il en résultait que, même si l'entrave incriminée avait duré plusieurs heures consécutives, elle était justifiée par les circonstances du cas d'espèce.</w:t>
      </w:r>
    </w:p>
    <w:p>
      <w:r>
        <w:rPr>
          <w:b/>
        </w:rPr>
        <w:t>E. 2.3</w:t>
      </w:r>
    </w:p>
    <w:p>
      <w:r>
        <w:t>Au regard des circonstances propres au cas d'espèce, l'appréciation de la cour cantonale se justifie en ce qui concerne le maintien des menottes après l'arrestation de l'intéressé au poste de A.________, dont il avait tenté de s'enfuir en causant des dégâts. On peut certes s'étonner de ce qu'une personne placée en cellule parvienne à s'en extraire de la façon décrite par l'arrêt querellé. Quoi qu'il en soit, le maintien des menottes pouvait, tant que le recourant se trouvait au poste de A.________ et vu ce qui s'y était produit, se justifier pour prévenir une nouvelle tentative de fuite. De même, le maintien des menottes pendant son transfert au poste de B.________ ne prête-t-il pas le flanc à la critique, a fortiori au regard de l'état d'énervement du recourant retenu par la cour cantonale. En revanche, les circonstances factuelles entourant le maintien des menottes après l'arrivée du recourant poste de B.________, et ce jusqu'aux alentours de 9h00 alors qu'il était placé dans une nouvelle cellule, n'apparaissent pas suffisamment claires à ce stade pour en apprécier la proportionnalité, respectivement la licéité. Les différents éléments mis en exergue par la cour cantonale ne sont certes pas exempts de pertinence. Toutefois, il est en l'occurrence question d'une personne qui, une fois au poste de B.________, se trouvait dans une cellule supposée apte à pallier tout risque de fuite, mais qui est néanmoins demeurée entravée durant plusieurs heures. Or, si le recours à des mesures de contention sur une personne arrêtée et incarcérée n'apparaît pas absolument exclu (cf. à ce propos le ch. 68. 2 des Règles pénitentiaires européennes [RPE]), une telle éventualité ne saurait être admise à la légère, tant par rapport à ses motifs que par rapport à sa durée. A cet égard, l'arrêt querellé ne permet pas de comprendre avec la clarté requise comment et par qui l'existence d'un risque auto- ou hétéro-agressif a été appréciée ou comment et par qui le maintien des menottes a été décidé. Force est également de relever que l'arrêt querellé, à l'instar de l'ordonnance de non-entrée en matière, demeurent muet sur l'existence de directives ou autres ordres de service régissant ce type d'hypothèses. Ces questions doivent être instruites. Il convient a contrario de retenir que les conditions d'une ordonnance de non-entrée en matière au sens de l' art. 310 al. 1 let. a CPP n'étaient, en l'occurrence, pas réalisées. Le grief du recourant est donc bien fondé sur ce point. Au vu des motifs précités, il serait prématuré de se prononcer plus avant sur les griefs que le recourant formule plus particulièrement en rapport avec une prétendue violation des art. 123 CP , 181 CP et 312 CP, en lien avec avec les art. 14 CP et 200 CPP et 3 CEDH en ce qui concerne le port des menottes durant son placement en cellule au poste de B.________.</w:t>
      </w:r>
    </w:p>
    <w:p>
      <w:r>
        <w:rPr>
          <w:b/>
        </w:rPr>
        <w:t>E. 2.4</w:t>
      </w:r>
    </w:p>
    <w:p>
      <w:r>
        <w:t>S'agissant enfin de la privation de liberté dont se plaint le recourant en invoquant l' art. 5 CEDH , il sied de relever que sa forte alcoolisation (2.6 o/oo) et son comportement inconvenant, combinés avec le fait que les gendarmes n'ont pas été en mesure de le ramener dans son appartement, puisqu'il n'en avait pas les clés, justifiaient son placement en cellule de dégrisement pour trois heures. La mesure reposait au demeurant sur une base légale idoine (art. 21 aLPol/GE) et, au vu des circonstances, respectait le principe de proportionnalité, tant sous l'angle des maximes d'aptitude, de nécessité que de proportionnalité au sens étroit. Ses allégations relatives au caractère illicite de sa privation de liberté sont donc dépourvues de consistance. Au surplus, le recourant ne conteste pas les conditions de son arrestation, intervenue dans un second temps, en raison dégâts causés dans sa cellule. Le refus d'entrer en matière en vertu de l' art. 310 al. 1 let. a CPP est donc conforme au droit fédéral en tant qu'il porte sur la privation de liberté du recourant.</w:t>
      </w:r>
    </w:p>
    <w:p>
      <w:r>
        <w:rPr>
          <w:b/>
        </w:rPr>
        <w:t>E. 3</w:t>
      </w:r>
    </w:p>
    <w:p>
      <w:r>
        <w:t>En définitive, l'arrêt attaqué doit être annulé et la cause renvoyée à l'autorité cantonale pour qu'elle ordonne au ministère public d'ouvrir une instruction sur la question du maintien des menottes après l'arrivée du recourant au poste de B.________. Vu le motif du renvoi, le Tribunal fédéral peut statuer sans préalablement requérir des observations ( ATF 133 IV 293 consid. 3.4.2 p. 295 s.; plus récemment: arrêt 6B_147/2016 du 12 octobre 2016 consid. 3). Le canton de Genève sera dispensé des frais ( art. 66 al. 4 LTF ). Il versera en revanche au recourant une indemnité de dépens pour la procédure devant le Tribunal fédéral ( art. 68 al. 2 LTF ).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