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6B_572/2015 vom 24. November 2015</w:t>
      </w:r>
    </w:p>
    <w:p>
      <w:r>
        <w:t>Bundesgericht, 2015-11-24, FR</w:t>
      </w:r>
    </w:p>
    <w:p>
      <w:r>
        <w:rPr>
          <w:b/>
        </w:rPr>
        <w:t xml:space="preserve">Quelle: </w:t>
      </w:r>
      <w:r>
        <w:t>https://mcp.opencaselaw.ch/entscheid/bger_6B_572_2015</w:t>
      </w:r>
    </w:p>
    <w:p>
      <w:r>
        <w:t>FR: TF 6B_572/2015 du 24 novembre 2015</w:t>
      </w:r>
    </w:p>
    <w:p>
      <w:r>
        <w:t>IT: TF 6B_572/2015 del 24 novembre 2015</w:t>
      </w:r>
    </w:p>
    <w:p>
      <w:pPr>
        <w:pStyle w:val="Heading2"/>
      </w:pPr>
      <w:r>
        <w:t>Erwägungen</w:t>
      </w:r>
    </w:p>
    <w:p>
      <w:r>
        <w:rPr>
          <w:b/>
        </w:rPr>
        <w:t>E. 1</w:t>
      </w:r>
    </w:p>
    <w:p>
      <w:r>
        <w:t>Le Tribunal fédéral examine d'office sa compétence ( art. 29 al. 1 LTF ) et contrôle librement les conditions de recevabilité des recours qui lui sont soumis ( ATF 140 IV 57 consid. 2 p. 59).</w:t>
      </w:r>
    </w:p>
    <w:p>
      <w:r>
        <w:rPr>
          <w:b/>
        </w:rPr>
        <w:t>E. 1.1</w:t>
      </w:r>
    </w:p>
    <w:p>
      <w:r>
        <w:t>La décision attaquée a été rendue en matière pénale au sens de l' art. 78 LTF . Confirmant l'ordonnance de non-entrée en matière rendue par le Ministère public, elle a un caractère final ( art. 90 LTF ) et émane de l'autorité cantonale de dernière instance ( art. 80 LTF ). Le recourant a en outre agi en temps utile (art. 48 al. 1 et 100 al. 1 LTF). S'il demande devant le Tribunal fédéral la condamnation des coupables, il ressort également de ses écritures qu'il entend qu'une enquête soit mise en oeuvre à la suite des infractions dénoncées dans sa plainte; cette conclusion équivaut en substance à une demande de renvoi afin que l'instruction soit ouverte et elle est donc recevable ( art. 107 al. 2 LTF ).</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Selon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celle-ci aurait déjà déclaré de telles prétentions (cf. art. 119 al. 2 let. b CPP ), il n'en reste pas moins que le procureur qui refuse d'entrer en matière ou prononce un classement n'a pas à statuer sur l'aspect civil (cf. art. 320 al. 3 CPP ). Dans tous les cas, il incombe par conséquent au plaignant d'expliquer dans son mémoire au Tribunal fédéral quelles prétentions civiles il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et les arrêts cités).</w:t>
      </w:r>
    </w:p>
    <w:p>
      <w:r>
        <w:t>Le recourant se prétend victime d'escroquerie de la part de D.________ et/ou des représentants de A.________; en particulier, afin d'acquérir des actions d'une société immobilière chinoise, le premier l'aurait incité à verser la somme de £ 5'559.28 sur le compte d'une des entités A.________, société qui en fait n'existerait pas. Au vu du chef d'infraction et du montant évoqué, il peut dès lors être déduit que le recourant entend, pour le moins, obtenir le remboursement de l'investissement effectué à la suite des agissements allégués illicites de D.________. Il y a donc lieu d'entrer en matière.</w:t>
      </w:r>
    </w:p>
    <w:p>
      <w:r>
        <w:rPr>
          <w:b/>
        </w:rPr>
        <w:t>E. 2</w:t>
      </w:r>
    </w:p>
    <w:p>
      <w:r>
        <w:t>Le recourant reproche en substance à l'autorité précédente d'avoir considéré que les conditions de l' art. 146 CP - notamment celle de l'astuce - ne seraient pas réalisées. Il prétend à cet égard qu'au vu de son inexpérience en matière d'achat et de vente d'actions, il ne pourrait lui être fait grief de n'avoir pas entrepris d'autres démarches de vérification préalablement à son investissement.</w:t>
      </w:r>
    </w:p>
    <w:p>
      <w:r>
        <w:rPr>
          <w:b/>
        </w:rPr>
        <w:t>E. 3</w:t>
      </w:r>
    </w:p>
    <w:p>
      <w:r>
        <w:t>Aux termes de l' art. 146 CP ,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w:t>
      </w:r>
    </w:p>
    <w:p>
      <w:r>
        <w:t>Selon la jurisprudence, la tromperie est astucieuse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133 IV 256 consid. 4.4.3 p. 264; 128 IV 18 consid. 3a p. 20).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135 IV 76 consid. 5.2 p. 81).</w:t>
      </w:r>
    </w:p>
    <w:p>
      <w:r>
        <w:t>La tromperie astucieuse doit amener la dupe, dans l'erreur, à accomplir un acte préjudiciable à ses intérêts pécuniaires ou à ceux d'un tiers. La dupe doit conserver une certaine liberté de choix. L'erreur créée ou confortée par la tromperie doit motiver l'acte. L'escroquerie ne sera consommée que s'il y a un dommage (arrêt 6B_552/2013 du 9 janvier 2014 consid. 2.3.2 et les références citées).</w:t>
      </w:r>
    </w:p>
    <w:p>
      <w:r>
        <w:t>Sur le plan subjectif, l'escroquerie est une infraction intentionnelle, l'intention devant porter sur tous les éléments constitutifs de l'infraction. L'auteur doit en outre agir dans le dessein de se procurer ou de procurer à un tiers un enrichissement illégitime ( ATF 134 IV 210 consid. 5.3 p. 213 s.).</w:t>
      </w:r>
    </w:p>
    <w:p>
      <w:r>
        <w:rPr>
          <w:b/>
        </w:rPr>
        <w:t>E. 3.1</w:t>
      </w:r>
    </w:p>
    <w:p>
      <w:r>
        <w:t>La Chambre des recours pénale a considéré que le type de démarche utilisé par D.________, soit de contacter le recourant par téléphone pour lui proposer d'acheter des actions, était de nature à éveiller des soupçons, tant ce procédé était atypique pour une opération financière. Il en allait de même pour les rendements promis à hauteur de 27 à 29 % l'an, clairement irréalistes. Le recourant aurait dû se montrer d'autant plus prudent qu'il avait déjà été approché téléphoniquement une première fois par D.________ et avait renoncé à acheter les actions proposées en raison des réticences opposées par ce dernier s'agissant de la localisation des bureaux londoniens de C.A.________ et des modalités de règlement proposées pour la transaction (chèque). Le recourant, qui avait donc déjà eu des doutes sur la fiabilité des informations reçues de son interlocuteur, aurait dû se protéger en procédant aux vérifications élémentaires telles que de se renseigner sur la société qui le démarchait. Selon la cour cantonale, le contexte des faits permettait ainsi d'exclure toute escroquerie faute de comportement astucieux de la part de D.________.</w:t>
      </w:r>
    </w:p>
    <w:p>
      <w:r>
        <w:rPr>
          <w:b/>
        </w:rPr>
        <w:t>E. 3.2</w:t>
      </w:r>
    </w:p>
    <w:p>
      <w:r>
        <w:t>Ce raisonnement ne prête pas le flanc à la critique et les éléments retenus par la cour cantonale pour nier l'astuce (réticences émises lors de la première proposition, contacts uniquement téléphoniques, taux de rendement excessivement hauts) ne sont pas remis en cause par l'argumentation développée par le recourant. Celui-ci se limite en effet à soutenir que D.________ aurait exploité son inexpérience en matière de transactions boursières, sans démontrer en revanche quel comportement adopté par le susmentionné aurait été astucieux.</w:t>
      </w:r>
    </w:p>
    <w:p>
      <w:r>
        <w:t>En particulier, le recourant ne prétend pas que D.________ l'aurait dissuadé de procéder à des mesures de vérification, notamment sur C.A.________, société sur le compte de laquelle il a pourtant versé les £ 5'559.28. Le recourant reconnaît d'ailleurs que c'est de son propre chef qu'il a mis un terme à ses recherches informatiques concernant cette entité, décision motivée par l'absence de résultats suffisants (cf. ad 1.3 p. 2 de son recours). Or, au regard des recherches effectuées postérieurement au versement litigieux et des résultats obtenus apparemment sans difficulté particulière, le recourant ne paraît pas, contrairement à ce qu'il prétend, avoir été dans l'impossibilité de trouver des renseignements complémentaires faute de compétences ou de connaissances (cf. notamment sa plainte pénale, p. 3 ss).</w:t>
      </w:r>
    </w:p>
    <w:p>
      <w:r>
        <w:t>Partant, la Chambre des recours pénale a retenu, à juste titre et sans violer le principe "in dubio pro duriore", que la condition de l'astuce ( art. 146 CP ) n'était pas réalisée en l'espèce ( art. 310 al. 1 let. a CPP ).</w:t>
      </w:r>
    </w:p>
    <w:p>
      <w:r>
        <w:rPr>
          <w:b/>
        </w:rPr>
        <w:t>E. 4</w:t>
      </w:r>
    </w:p>
    <w:p>
      <w:r>
        <w:t>Il s'ensuit que le recours est rejeté.</w:t>
      </w:r>
    </w:p>
    <w:p>
      <w:r>
        <w:t>Le recourant,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