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571/2009 vom 28. Dezember 2009</w:t>
      </w:r>
    </w:p>
    <w:p>
      <w:r>
        <w:t>Bundesgericht, 2009-12-28, DE</w:t>
      </w:r>
    </w:p>
    <w:p>
      <w:r>
        <w:rPr>
          <w:b/>
        </w:rPr>
        <w:t xml:space="preserve">Quelle: </w:t>
      </w:r>
      <w:r>
        <w:t>https://mcp.opencaselaw.ch/entscheid/bger_6B_571_2009</w:t>
      </w:r>
    </w:p>
    <w:p>
      <w:r>
        <w:t>FR: TF 6B 571/2009 du 28 décembre 2009</w:t>
      </w:r>
    </w:p>
    <w:p>
      <w:r>
        <w:t>IT: TF 6B 571/2009 del 28 dicembre 2009</w:t>
      </w:r>
    </w:p>
    <w:p>
      <w:pPr>
        <w:pStyle w:val="Heading2"/>
      </w:pPr>
      <w:r>
        <w:t>Regeste</w:t>
      </w:r>
    </w:p>
    <w:p>
      <w:r>
        <w:t>Grobe Verletzung von Verkehrsregeln (Schweigen des Angeklagten zur Identität des Fahrzeuglenkers) | Straftaten</w:t>
      </w:r>
    </w:p>
    <w:p>
      <w:pPr>
        <w:pStyle w:val="Heading2"/>
      </w:pPr>
      <w:r>
        <w:t>Erwägungen</w:t>
      </w:r>
    </w:p>
    <w:p>
      <w:r>
        <w:rPr>
          <w:b/>
        </w:rPr>
        <w:t>E. 1</w:t>
      </w:r>
    </w:p>
    <w:p>
      <w:r>
        <w:t>Der Beschwerdeführer macht geltend, mangels tauglicher Beweismittel habe sich die Vorinstanz keine fehlerfreie Überzeugung zu seiner Täterschaft bilden können. Art. 6 EMRK und Art. 32 BV schützten sein Recht auf Aussageverweigerung.</w:t>
      </w:r>
    </w:p>
    <w:p>
      <w:r>
        <w:rPr>
          <w:b/>
        </w:rPr>
        <w:t>E. 2</w:t>
      </w:r>
    </w:p>
    <w:p>
      <w:r>
        <w:t>Die Feststellung des Sachverhalts kann nur gerügt werden, "wenn sie offensichtlich unrichtig" ( Art. 105 Abs. 2 BGG ), d.h. willkürlich, ist ( BGE 133 II 249 E. 1.2.2). Es gilt eine qualifizierte Rügepflicht ( BGE 134 I 83 E. 3.2; 133 IV 286 E. 1.4). Die Vorinstanz nimmt willkürfrei an, dass der Beschwerdeführer Halter des Fahrzeugs war (zum Willkürbegriff BGE 134 I 140 E. 5.4).</w:t>
      </w:r>
    </w:p>
    <w:p>
      <w:r>
        <w:rPr>
          <w:b/>
        </w:rPr>
        <w:t>E. 3</w:t>
      </w:r>
    </w:p>
    <w:p>
      <w:r>
        <w:t>Die Vorinstanz erwägt, der Beschwerdeführer habe als Halter keine Angaben zum Lenker des Fahrzeugs gemacht. Es müsse angenommen werden, dass er es selber zur Tatzeit gelenkt hatte.</w:t>
      </w:r>
    </w:p>
    <w:p>
      <w:r>
        <w:rPr>
          <w:b/>
        </w:rPr>
        <w:t>E. 3.1</w:t>
      </w:r>
    </w:p>
    <w:p>
      <w:r>
        <w:t>Sie beruft sich dazu (oben E. B) auf das Urteil 1P.641/2000 vom 24. April 2001 E. 3 (deutsche Übersetzung in: Praxis 90/2001 Nr. 110). Nach diesem Urteil kann der Strafrichter nicht einfach aus dem Schweigen auf die Schuld schliessen. "C'est seulement si les preuves à charge appellent une explication que l'accusé devrait être en mesure de donner, que l'absence de celle-ci peut permettre de conclure, par un simple raisonnement de bon sens, qu'il n'existe aucune explication possible et que l'accusé est coupable". Diese Erwägung bekräftigt lediglich die allgemein anerkannte Praxis, dass Schweigen die Annahme der Täterschaft nicht ausschliesst, wenn diese nicht zweifelhaft ist.</w:t>
      </w:r>
    </w:p>
    <w:p>
      <w:r>
        <w:rPr>
          <w:b/>
        </w:rPr>
        <w:t>E. 3.2</w:t>
      </w:r>
    </w:p>
    <w:p>
      <w:r>
        <w:t>Das Bundesgericht stützte sich hier auf die frühere Rechtsprechung des EGMR. Inzwischen entschied es, dass auch das Recht, sich nicht selbst zu belasten (nemo-tenetur-Grundsatz), einer Verurteilung wegen Vereitelung einer Blutprobe nicht entgegensteht ( BGE 131 IV 36 ). Sich auf das Aussageverweigerungsrecht zu berufen oder die Möglichkeit ins Spiel zu bringen, nicht gefahren zu sein, hindert nicht, eine Täterschaft anzunehmen (Urteil 6B_676/2008 vom 16. Februar 2009 E. 1.3; Urteil 6B_41/2009 vom 1. Mai 2009). Die Grosse Kammer des EGMR führte in der Sache O'Halloran und Francis gegen Grossbritannien vom 29. Juni 2007 aus, die unter Strafandrohung erfolgte Aufforderung an einen Fahrzeughalter, die Person zu nennen, die das Fahrzeug während der Geschwindigkeitsüberschreitung gelenkt hatte, verstosse nicht gegen das Recht, zu schweigen und sich nicht selbst zu belasten (teilweise publ. in: forumpoenale 1/2008 S. 2 mit Bemerkungen von WOLFGANG WOHLERS). Sie wies darauf hin, dass sich jeder Halter oder Lenker eines Motorfahrzeugs der Strassenverkehrsgesetzgebung unterwirft ("All who own or drive motor cars know that by doing so they subject themselves to a regulatory regime. [...] Those [...] can be taken to have accepted certain responsibilities and obligations as part of the regulatory regime relating to motor vehicles [...]" [Ziff. 57]). Somit ergeben sich nach der neueren bundesgerichtlichen und konventionsrechtlichen Rechtsprechung für Halter und Lenker von Motorfahrzeugen aus ihrer Akzeptanz der Strassenverkehrsgesetzgebung und ihrer Fahrberechtigung gewisse Obliegenheiten.</w:t>
      </w:r>
    </w:p>
    <w:p>
      <w:r>
        <w:rPr>
          <w:b/>
        </w:rPr>
        <w:t>E. 3.3</w:t>
      </w:r>
    </w:p>
    <w:p>
      <w:r>
        <w:t>Vorliegend beschränkte sich der Beschwerdeführer bei der Befragung durch den Strafgerichtspräsidenten zum Grund seiner Einsprache gegen den Strafbefehl, zu seinem Aufenthaltsort zur Zeit der Bildaufnahme und zur Frage, ob er seinen Porsche eventuell ausgeliehen hatte, auf die Erklärungen, er möchte dazu nichts sagen (act. 75). Es spricht alles dafür und nichts dagegen, dass der Beschwerdeführer selber seinen Porsche in jenem Zeitpunkt gelenkt hatte, als er geblitzt wurde. Unter diesen Umständen auf seine Täterschaft zu schliessen, verstösst nicht gegen Art. 6 Ziff. 2 EMRK und Art. 32 Abs. 1 BV .</w:t>
      </w:r>
    </w:p>
    <w:p>
      <w:r>
        <w:rPr>
          <w:b/>
        </w:rPr>
        <w:t>E. 3.4</w:t>
      </w:r>
    </w:p>
    <w:p>
      <w:r>
        <w:t>Gemäss § 46 Abs. 1 StPO /BL ist bei Aussageverweigerung das Verfahren ohne Rücksicht darauf weiterzuführen. Das war vorliegend der Fall. Eine willkürliche Auslegung ist nicht ersichtlich.</w:t>
      </w:r>
    </w:p>
    <w:p>
      <w:r>
        <w:rPr>
          <w:b/>
        </w:rPr>
        <w:t>E. 4</w:t>
      </w:r>
    </w:p>
    <w:p>
      <w:r>
        <w:t>Die Beschwerde ist abzuweisen. Der Beschwerdeführer hat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