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6B_569/2016 vom 13. Juni 2016</w:t>
      </w:r>
    </w:p>
    <w:p>
      <w:r>
        <w:t>Bundesgericht, 2016-06-13, DE</w:t>
      </w:r>
    </w:p>
    <w:p>
      <w:r>
        <w:rPr>
          <w:b/>
        </w:rPr>
        <w:t xml:space="preserve">Quelle: </w:t>
      </w:r>
      <w:r>
        <w:t>https://mcp.opencaselaw.ch/entscheid/bger_6B_569_2016</w:t>
      </w:r>
    </w:p>
    <w:p>
      <w:r>
        <w:t>FR: TF 6B_569/2016 du 13 juin 2016</w:t>
      </w:r>
    </w:p>
    <w:p>
      <w:r>
        <w:t>IT: TF 6B_569/2016 del 13 giugno 2016</w:t>
      </w:r>
    </w:p>
    <w:p>
      <w:pPr>
        <w:pStyle w:val="Heading2"/>
      </w:pPr>
      <w:r>
        <w:t>Erwägungen</w:t>
      </w:r>
    </w:p>
    <w:p>
      <w:r>
        <w:rPr>
          <w:b/>
        </w:rPr>
        <w:t>E. 1</w:t>
      </w:r>
    </w:p>
    <w:p>
      <w:r>
        <w:t>Der Beschwerdeführer beschäftigte die Vorinstanz bereits zum zweiten Mal mit exakt der gleichen Sache, die bereits entschieden ist. Auch das Bundesgericht hatte sich damit schon zu befassen (Urteil 6B_201/2016 vom 25. Februar 2016). Darauf ist nicht zurückzukommen. Auf die querulatorische Beschwerde ist gestützt auf Art. 42 Abs. 7 BGG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trölerischen Art der Prozessführung des Beschwerdeführers ist im Gegenteil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