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6B_567/2012 vom 18. Dezember 2012</w:t>
      </w:r>
    </w:p>
    <w:p>
      <w:r>
        <w:t>Bundesgericht, 2012-12-18, FR</w:t>
      </w:r>
    </w:p>
    <w:p>
      <w:r>
        <w:rPr>
          <w:b/>
        </w:rPr>
        <w:t xml:space="preserve">Quelle: </w:t>
      </w:r>
      <w:r>
        <w:t>https://mcp.opencaselaw.ch/entscheid/bger_6B_567_2012</w:t>
      </w:r>
    </w:p>
    <w:p>
      <w:r>
        <w:t>FR: TF 6B_567/2012 du 18 décembre 2012</w:t>
      </w:r>
    </w:p>
    <w:p>
      <w:r>
        <w:t>IT: TF 6B_567/2012 del 18 dicembre 2012</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irrecevables (cf. ATF 137 II 353 consid. 5.1 p. 356).</w:t>
      </w:r>
    </w:p>
    <w:p>
      <w:r>
        <w:rPr>
          <w:b/>
        </w:rPr>
        <w:t>E. 2</w:t>
      </w:r>
    </w:p>
    <w:p>
      <w:r>
        <w:t>Le recourant invoque la violation de l' art. 404 al. 1 CPP ainsi que la constatation arbitraire des faits. Il relève que, dans son jugement du 30 septembre 2011, l'autorité de première instance avait retenu un trafic portant sur 3,3 kg d'héroïne (environ 2 kg en septembre 2010 et 1,3 kg en octobre 2010) et fixé la peine sur la base de cette quantité (jugement du 30 septembre 2011, consid. 2.7 p. 40 et consid. 9.2.1 p. 46). Saisie d'un appel du Ministère public portant sur la seule question de la quotité de la sanction, la cour cantonale ne pouvait, selon lui, prendre en considération une quantité de produits stupéfiants de près de 5 kg.</w:t>
      </w:r>
    </w:p>
    <w:p>
      <w:r>
        <w:rPr>
          <w:b/>
        </w:rPr>
        <w:t>E. 2.1</w:t>
      </w:r>
    </w:p>
    <w:p>
      <w:r>
        <w:t>Conformément à l' art. 404 al. 1 CPP , la juridiction d'appel n'examine que les points attaqués du jugement de première instance.</w:t>
      </w:r>
    </w:p>
    <w:p>
      <w:r>
        <w:rPr>
          <w:b/>
        </w:rPr>
        <w:t>E. 2.2</w:t>
      </w:r>
    </w:p>
    <w:p>
      <w:r>
        <w:t>En l'espèce, il est constant que l'appel du Ministère public portait sur la seule quotité de la peine et que celui du recourant a été déclaré irrecevable. Il ressort, par ailleurs, du jugement du 30 septembre 2011 que le Tribunal correctionnel a tenu pour établie, à la charge du recourant, une livraison de 1500 g d'héroïne le 5 septembre 2010 ou aux alentours de cette date (consid. 2.2 p. 36). Il a ensuite retenu une livraison du 8 septembre 2010, sans en chiffrer le poids mais en précisant que les quantités figurant dans l'acte d'accusation, soit un total de près de 5 kg, étaient trop importantes au vu de celles écoulées par la suite (consid. 2.3 p. 37). 2050 g d'héroïne avaient été écoulés du 8 au 16 septembre 2010 (consid. 2.4 p. 38). Le recourant avait également reconnu la vente de 85 g d'héroïne à des consommateurs entre le 9 et le 15 septembre 2010 (consid. 2.5 p. 38). Enfin, 1300 g d'héroïne avaient été livrés le 5 octobre 2010, après que la drogue reçue les 5 et 8 septembre 2010 eut été écoulée le 16 septembre 2010 (consid. 2.6 p. 38 s.).</w:t>
      </w:r>
    </w:p>
    <w:p>
      <w:r>
        <w:t>On comprend ainsi que, pour aboutir à un trafic portant sur 3,3 kg d'héroïne, l'autorité de première instance a additionné les 1300 g de la livraison du 5 octobre 2010, aux quelque 2000 g écoulés du 8 au 16 septembre 2010, correspondant eux-mêmes aux quantités livrées le 5 septembre 2010 (1500 g) et le 8 septembre 2010 (quantité indéterminée). Quant à la cour cantonale, elle a, implicitement, tenu compte de toutes les quantités établies par l'autorité de première instance (1500 + 2050 + 85 + 1300 = 4935 g). Il s'ensuit que la cour cantonale n'a pas retenu à la charge du recourant des faits qui ne l'avaient pas été en première instance. Elle n'a donc pas méconnu les limites découlant du fait que l'appel du Ministère public portait exclusivement sur la quotité de la peine. Le grief est infondé.</w:t>
      </w:r>
    </w:p>
    <w:p>
      <w:r>
        <w:t>Pour le surplus, savoir comment ces quantités de stupéfiants doivent être prises en compte au stade de la fixation de la peine est une question de droit qui sera examinée ci-dessous.</w:t>
      </w:r>
    </w:p>
    <w:p>
      <w:r>
        <w:rPr>
          <w:b/>
        </w:rPr>
        <w:t>E. 3</w:t>
      </w:r>
    </w:p>
    <w:p>
      <w:r>
        <w:t>Le recourant invoque la violation de l' art. 47 CP .</w:t>
      </w:r>
    </w:p>
    <w:p>
      <w:r>
        <w:rPr>
          <w:b/>
        </w:rPr>
        <w:t>E. 3.1</w:t>
      </w:r>
    </w:p>
    <w:p>
      <w:r>
        <w:t>Les règles générales régissant la fixation de la peine ont été rappelées dans les arrêts publiés aux ATF 136 IV 55 et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insoutenable de la marge de manoeuvre que lui accorde le droit fédéral, s'il a fixé une peine en dehors du cadre légal, s'il s'est fondé sur des critères étrangers à l' art. 47 CP ou si des éléments d'appréciation importants n'ont pas été pris en compte.</w:t>
      </w:r>
    </w:p>
    <w:p>
      <w:r>
        <w:rPr>
          <w:b/>
        </w:rPr>
        <w:t>E. 3.2</w:t>
      </w:r>
    </w:p>
    <w:p>
      <w:r>
        <w:t>Dans le domaine spécifique des infractions à la LStup, le Tribunal fédéral a, en outre, dégagé les principes suivants.</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3.3</w:t>
      </w:r>
    </w:p>
    <w:p>
      <w:r>
        <w:t>En bref, le recourant reproche à la cour cantonale d'avoir pris en considération une quantité de près de 5 kg d'héroïne. La cour cantonale aurait conféré un poids excessif au fait qu'il avait suivi une formation de médecin ainsi qu'à l'existence d'un antécédent judiciaire, qui devrait être considéré comme un facteur neutre. La cour cantonale aurait ignoré le taux de pureté particulièrement faible des stupéfiants en question, élément qui jouerait un rôle quant à la gravité de l'infraction au regard de la quantité d'héroïne pure mise en circulation, d'une part, et qui démontrerait, d'autre part, qu'il s'agissait d'un trafic purement local, de faible envergure, les condamnés se trouvant en toute fin de chaîne, faute de pouvoir couper davantage la marchandise.</w:t>
      </w:r>
    </w:p>
    <w:p>
      <w:r>
        <w:rPr>
          <w:b/>
        </w:rPr>
        <w:t>E. 3.3.1</w:t>
      </w:r>
    </w:p>
    <w:p>
      <w:r>
        <w:t>La peine maximale sanctionnant les infractions graves à l' art. 19 LStup est de vingt ans de privation de liberté. Celle infligée en l'espèce ne sort, par conséquent, pas du cadre légal.</w:t>
      </w:r>
    </w:p>
    <w:p>
      <w:r>
        <w:rPr>
          <w:b/>
        </w:rPr>
        <w:t>E. 3.3.2</w:t>
      </w:r>
    </w:p>
    <w:p>
      <w:r>
        <w:t>On renvoie, en ce qui concerne les quantités de stupéfiants sur lesquelles a porté l'activité du recourant à ce qui a été exposé ci-dessus. La cour de céans est liée par ces constatations ( art. 105 al. 1 LTF ). L'argumentation du recourant consistant à opposer aux quelque 5 kilos d'héroïne retenus par la cour cantonale pour fixer la peine les 3,3 kilos mentionnés par l'autorité de première instance pose, tout au plus, la question - de droit - de savoir comment doit être déterminée la quantité de stupéfiants, s'agissant d'apprécier l'importance de son activité délictueuse.</w:t>
      </w:r>
    </w:p>
    <w:p>
      <w:r>
        <w:t>A cet égard, le calcul opéré par la cour cantonale pour déterminer l'importance du trafic revient à prendre en considération deux fois la même quantité de stupéfiants, en tant qu'elle a été livrée, puis distribuée. Il apparaît d'emblée qu'un tel calcul ne rend pas compte de l'importance globale d'un trafic. Il n'en demeure pas moins que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w:t>
      </w:r>
    </w:p>
    <w:p>
      <w:r>
        <w:rPr>
          <w:b/>
        </w:rPr>
        <w:t>E. 3.3.3</w:t>
      </w:r>
    </w:p>
    <w:p>
      <w:r>
        <w:t>Le trafic du recourant a ainsi porté sur plus de trois kilos bruts d'héroïne (v. infra consid. 3.3.4 en ce qui concerne les quantités d'héroïne pure). Dans un tel ordre de grandeur, les quantités exactes en jeu apparaissent ainsi moins déterminantes que l'étendue des activités de l'auteur et son implication dans le trafic. L'autorité cantonale a souligné, sur ce point, la position de chef du réseau que revêtait le recourant. Il ressort aussi du jugement de première instance qu'il s'occupait de l'approvisionnement en drogue et en produits de coupage de son groupe ainsi que de son financement. Il était chargé de collecter le produit des ventes pour payer ou rembourser ensuite le fournisseur et se tenait informé des ventes (jugement du 30 septembre 2011, consid. 2.2 p. 36, consid. 2.6 p. 39 et 9.2.1 p. 46). Il s'ensuit que ses activités ne se sont pas limitées à la livraison des stupéfiants à ses comparses mais englobent plusieurs des comportements réprimés par l' art. 19 al. 1 let . c, d et e LStup.</w:t>
      </w:r>
    </w:p>
    <w:p>
      <w:r>
        <w:rPr>
          <w:b/>
        </w:rPr>
        <w:t>E. 3.3.4</w:t>
      </w:r>
    </w:p>
    <w:p>
      <w:r>
        <w:t>En tant que le recourant se prévaut, pour l'ensemble des faits qui lui ont été reprochés, d'un taux de pureté particulièrement faible (5,5%), il s'écarte de manière inadmissible des constatations de fait des autorités cantonales. Ce taux n'a, en effet, été établi qu'en ce qui concerne la livraison du 5 octobre 2010 (1,3 kg), cependant que les autorités cantonales ont retenu un taux de pureté de 10% pour le solde, soit la plus grande part des stupéfiants (jugement du 30 septembre 2011, consid. 5.1 p. 41). De surcroît, il ne ressort pas des constatations de fait des autorités cantonales que le recourant ait su, au moment d'agir, les stupéfiants d'une qualité particulièrement médiocre. Il ne peut donc rien en déduire en sa faveur. En plaidant, sur la même base, un trafic purement local « en bout de chaîne » portant sur des stupéfiants ne pouvant plus être coupés, le recourant s'écarte encore une fois des constatations de fait des autorités cantonales. Ces dernières ont en effet retenu que l'après-midi du 8 septembre 2010 avait été consacrée au « coupage » de la drogue livrée le matin, grâce aux produits obtenus à cette fin le jour précédent (jugement du 30 septembre 2011, consid. 2.2 p. 36 et consid. 2.3 p. 37), et que la drogue était également destinée à des semi-grossistes (jugement du 30 septembre 2011, consid. 9.2.1 p. 46). Cela suppose la revente par ces derniers à des tiers, consommateurs finaux ou non. La distribution des stupéfiants à des tiers a, en outre, été opérée par la remise de nombreuses quantités plus ou moins importantes (v. jugement du 30 septembre 2011, consid. g.e p. 17 ss et g.f p. 22 ss).</w:t>
      </w:r>
    </w:p>
    <w:p>
      <w:r>
        <w:rPr>
          <w:b/>
        </w:rPr>
        <w:t>E. 3.3.5</w:t>
      </w:r>
    </w:p>
    <w:p>
      <w:r>
        <w:t>En ce qui concerne les aspects personnels, on ne saurait reprocher à la cour cantonale d'avoir souligné que le recourant disposait d'une formation de médecin. Comme l'a relevé l'autorité précédente, d'une part, cette formation aurait permis au recourant de gagner sa vie en exerçant une activité licite (arrêt entrepris, consid. 3.3.1 p. 11). Il n'était dès lors pas insoutenable de conclure qu'il avait agi par appât du gain (jugement du 30 septembre 2011 consid. 9.2.1 p. 46). On peut en déduire, d'autre part, que le recourant devait avoir une conscience particulière des conséquences tant individuelles, sur la santé des consommateurs, que plus généralement sanitaires et sociales de son activité illicite (v. jugement du 30 septembre 2011 consid. 9.2.1 p. 47). Ainsi, même à supposer qu'il ait tablé sur un taux de pureté relativement faible (5,5%), il ne pouvait, compte tenu des quantités en cause (quelque 3,3 kg), ignorer mettre en danger la santé de plusieurs centaines de personnes (cf. ATF 109 IV 143 ). Pour le surplus, en se référant à l'arrêt publié aux ATF 136 IV 1 , le recourant se méprend sur la portée de cette jurisprudence qui ne fait pas de tout antécédent, même défavorable, un facteur neutre dans la fixation de la peine, mais n'autorise plus de reconnaître, sauf circonstances particulières, un effet atténuant à l'absence d'antécédent.</w:t>
      </w:r>
    </w:p>
    <w:p>
      <w:r>
        <w:rPr>
          <w:b/>
        </w:rPr>
        <w:t>E. 3.3.6</w:t>
      </w:r>
    </w:p>
    <w:p>
      <w:r>
        <w:t>Au vu de ce qui précède, et compte tenu, de la récidive dans le même domaine des stupéfiants (condamnation à trois ans de privation de liberté: jugement du 30 septembre 2011, consid. D.a p. 32 et consid. 9.2.1 p. 47), ainsi que du concours ( art. 49 CP ) avec des infractions à la loi fédérale sur les étrangers, la privation de liberté infligée en l'espèce, qui demeure dans le premier tiers de l'échelle des peines entrant en considération, n'apparaît pas procéder d'un abus du large pouvoir d'appréciation dont disposait la cour cantonale. Le grief est infondé dans la mesure où il est recevable.</w:t>
      </w:r>
    </w:p>
    <w:p>
      <w:r>
        <w:rPr>
          <w:b/>
        </w:rPr>
        <w:t>E. 4</w:t>
      </w:r>
    </w:p>
    <w:p>
      <w:r>
        <w:t>Le recourant succombe. Son recours était d'emblée dénué de chances de succès, de sorte que l'assistance judiciaire doit être refusée ( art. 64 al. 1 LTF ). Il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