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6B_566/2022 vom 18. Januar 2023</w:t>
      </w:r>
    </w:p>
    <w:p>
      <w:r>
        <w:t>Bundesgericht, 2023-01-18, FR</w:t>
      </w:r>
    </w:p>
    <w:p>
      <w:r>
        <w:rPr>
          <w:b/>
        </w:rPr>
        <w:t xml:space="preserve">Quelle: </w:t>
      </w:r>
      <w:r>
        <w:t>https://mcp.opencaselaw.ch/entscheid/bger_6B_566_2022</w:t>
      </w:r>
    </w:p>
    <w:p>
      <w:r>
        <w:t>FR: TF 6B_566/2022 du 18 janvier 2023</w:t>
      </w:r>
    </w:p>
    <w:p>
      <w:r>
        <w:t>IT: TF 6B_566/2022 del 18 gennaio 2023</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133 III 489 consid. 3.1; arrêts 6B_738/2022 du 6 décembre 2022 consid. 1; 6B_1266/2020 du 25 avril 2022 consid. 2 non publié in ATF 148 IV 256 ).</w:t>
      </w:r>
    </w:p>
    <w:p>
      <w:r>
        <w:t>En l'espèce, le recourant demande l'annulation du chiffre II du dispositif du jugement du 9 mars 2022 et le renvoi de la cause à l'autorité précédente pour nouvelle décision. Ce faisant, il n'indique pas quelles sont les modifications du jugement attaqué qu'il entend concrètement solliciter sur le fond. Les motifs du recours permettent toutefois de comprendre que le recourant conclut à la réforme du jugement attaqué en ce sens que le sursis lui est accordé et qu'une peine pécuniaire ou un travail d'intérêt général est prononcé en lieu et place d'une peine privative de liberté. Cela suffit tout juste pour satisfaire aux exigences de forme déduites de l' art. 42 al. 1 et 2 LTF (cf. ATF 137 II 313 consid. 1.3; arrêt 6B_572/2022 du 16 novembre 2022 consid. 1 et les arrêts cités).</w:t>
      </w:r>
    </w:p>
    <w:p>
      <w:r>
        <w:rPr>
          <w:b/>
        </w:rPr>
        <w:t>E. 2</w:t>
      </w:r>
    </w:p>
    <w:p>
      <w:r>
        <w:t>Le recourant se plaint d'arbitraire dans la constatation des faits et d'une violation de l' art. 42 al. 1 CP . En outre, invoquant une violation des art. 398 al. 2 CPP et 41 al. 1 CP, il reproche à la cour cantonale de ne pas avoir examiné d'office si une peine pécuniaire ou un travail d'intérêt général pouvait être prononcé à son encontre.</w:t>
      </w:r>
    </w:p>
    <w:p>
      <w:r>
        <w:rPr>
          <w:b/>
        </w:rPr>
        <w:t>E. 2.1</w:t>
      </w:r>
    </w:p>
    <w:p>
      <w:r>
        <w:t>Le Tribunal fédéral n'est pas une autorité d'appel, auprès de laquelle les faits pourraient être rediscutés librement. Il est lié par les constatations de faits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147 IV 73 consid. 4.1.2; 146 IV 88 consid. 1.3.1; 145 IV 154 consid. 1.1).</w:t>
      </w:r>
    </w:p>
    <w:p>
      <w:r>
        <w:rPr>
          <w:b/>
        </w:rPr>
        <w:t>E. 2.2</w:t>
      </w:r>
    </w:p>
    <w:p>
      <w:r>
        <w:t>Aux termes de l' art. 41 al. 1 CP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au premier chef de l'adéquation de la peine, de ses effets sur l'auteur et sur sa situation sociale ainsi que de son efficacité du point de vue de la prévention ( ATF 147 IV 241 consid. 3.2; 144 IV 313 consid. 1.1.1 et les références citées).</w:t>
      </w:r>
    </w:p>
    <w:p>
      <w:r>
        <w:t>En matière de fixation de la peine, la juridiction d'appel jouit d'un plein pouvoir d'examen ( art. 398 al. 2 et 408 CPP ). Quoi qu'il en soit, un recours ne saurait être admis simplement pour améliorer ou compléter un considérant, lorsque la décision rendue apparaît conforme au droit ( ATF 144 IV 313 consid. 1.2; 136 IV 55 consid. 5.6; arrêts 6B_291/2020 du 15 mai 2020 consid. 2.1; 6B_1354/2019 du 21 avril 2020 consid. 2.1).</w:t>
      </w:r>
    </w:p>
    <w:p>
      <w:r>
        <w:t>Selon la jurisprudence, la motivation doit justifier la peine prononcée, en permettant de suivre le raisonnement adopté, même si le juge n'est pas tenu d'exprimer en chiffres ou en pourcentages l'importance qu'il accorde à chacun des éléments qu'il cite, étant rappelé que plus la peine est élevée, plus la motivation doit être complète ( art. 50 CP ; ATF 144 IV 313 consid. 1.2; arrêts 6B_1214/2021 du 26 octobre 2022 consid. 2.1.3; 6B_594/2019 du 4 juillet 2019 consid. 1.3.3).</w:t>
      </w:r>
    </w:p>
    <w:p>
      <w:r>
        <w:t>Conformément à l' art. 41 al. 2 CP , lorsque le juge choisit de prononcer à la place d'une peine pécuniaire une peine privative de liberté, il doit motiver le choix de cette dernière peine de manière circonstanciée.</w:t>
      </w:r>
    </w:p>
    <w:p>
      <w:r>
        <w:rPr>
          <w:b/>
        </w:rPr>
        <w:t>E. 2.3</w:t>
      </w:r>
    </w:p>
    <w:p>
      <w:r>
        <w:t>Aux termes de l' art. 42 al. 1 CP ,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(arrêts 6B_1396/2021 du 28 juin 2022 consid. 4.1.2; 6B_1403/2021 du 9 juin 2022 consid. 5.9.1; 6B_395/2021 du 11 mars 2022 consid. 8.1 et les références).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Le défaut de prise de conscience de la faute peut justifier un pronostic défavorable, car seul celui qui se repent de son acte mérite la confiance que l'on doit pouvoir accorder au condamné bénéficiant du sursis (arrêts 6B_1396/2021 précité consid. 4.1.2; 6B_1403/2021 précité consid. 5.9.1; 6B_489/2021 du 11 mars 2022 consid. 1.1). Dans l'émission du pronostic, le juge dispose d'un large pouvoir d'appréciation, de sorte que le Tribunal fédéral n'intervient qu'en cas d'abus ou d'excès de ce pouvoir ( ATF 145 IV 137 consid. 2.2).</w:t>
      </w:r>
    </w:p>
    <w:p>
      <w:r>
        <w:rPr>
          <w:b/>
        </w:rPr>
        <w:t>E. 2.4</w:t>
      </w:r>
    </w:p>
    <w:p>
      <w:r>
        <w:t>La cour cantonale a retenu que le recourant était condamné pour la troisième fois pour emploi d'étrangers sans autorisation et que le pronostic était clairement défavorable pour ce motif. Le fait qu'il avait vendu la société par laquelle il avait employé illégalement C.________ n'était pas de nature à renverser ce constat, car le recourant était susceptible de développer d'autres activités économiques l'amenant à recruter des étrangers. La cour cantonale a retenu que s'il était exact que la précédente condamnation prononcée par le tribunal de police était postérieure aux faits litigieux, il n'en demeurait pas moins que le recourant avait fait l'objet de contrôles successifs, d'abord le 25 septembre 2019 sur un chantier, puis le 15 octobre 2020, ce qui lui avait valu d'être entendu les 30 juin et 8 novembre 2020. Il avait déclaré de façon mensongère à cette dernière occasion que C.________ n'était plus son employé depuis le contrôle de l'inspectorat du travail en 2019.</w:t>
      </w:r>
    </w:p>
    <w:p>
      <w:r>
        <w:t>Ainsi, déjà condamné en janvier 2019 et se sachant l'objet d'une nouvelle enquête pour des infractions analogues dès le 30 juin 2020, le recourant n'avait pas hésité à continuer à employer illégalement C.________ malgré ses antécédents et les interventions de la police, puis de la justice. C'était donc à juste titre que le premier juge avait prononcé une peine privative de liberté pour des motifs de prévention spéciale, dont la quotité avait été fixée conformément aux principes applicables et était adéquate. La peine privative de liberté n'était pas complémentaire à la condamnation du 7 décembre 2020, car il s'agissait d'une peine d'un autre genre. Le cumul d'une peine privative de liberté et d'une peine pécuniaire découlait au demeurant de l'art. 117 al. 2</w:t>
      </w:r>
    </w:p>
    <w:p>
      <w:r>
        <w:t>in fine LEI. Les sanctions prononcées devaient donc être confirmées.</w:t>
      </w:r>
    </w:p>
    <w:p>
      <w:r>
        <w:rPr>
          <w:b/>
        </w:rPr>
        <w:t>E. 2.5</w:t>
      </w:r>
    </w:p>
    <w:p>
      <w:r>
        <w:t>Le recourant reproche à la cour cantonale d'avoir arbitrairement retenu des motifs de prévention spéciale pour lui refuser le bénéfice du sursis. Il relève également qu'il a vendu sa société en 2021, ce qui serait "la mesure la plus forte et la plus incisive qu'il [pouvait] prendre pour éviter de commettre de nouvelles infractions à la LEI", et qu'il s'est immédiatement mis au chômage en avril 2021.</w:t>
      </w:r>
    </w:p>
    <w:p>
      <w:r>
        <w:rPr>
          <w:b/>
        </w:rPr>
        <w:t>E. 2.5.1</w:t>
      </w:r>
    </w:p>
    <w:p>
      <w:r>
        <w:t>En tant que le recourant reproche à la cour cantonale d'avoir arbitrairement retenu qu'il avait vendu sa société dans le but unique d'éviter des "tracas", sans avoir pris conscience de la gravité de ses actes, et qu'il soutient au contraire qu'il ne voulait plus avoir de "problèmes juridiques", il oppose en réalité sa propre appréciation à celle de la cour cantonale, sans démontrer en quoi celle-ci serait arbitraire. En tout état de cause, le seul fait qu'il a vendu sa société ne suffit pas à exclure un pronostic défavorable (cf.</w:t>
      </w:r>
    </w:p>
    <w:p>
      <w:r>
        <w:t>infra consid. 2.5.2).</w:t>
      </w:r>
    </w:p>
    <w:p>
      <w:r>
        <w:rPr>
          <w:b/>
        </w:rPr>
        <w:t>E. 2.5.2</w:t>
      </w:r>
    </w:p>
    <w:p>
      <w:r>
        <w:t>Contrairement à ce que suggère le recourant, la cour cantonale n'a pas refusé le sursis pour des "motifs de prévention spéciale", mais bien parce qu'elle a retenu un pronostic défavorable en se fondant essentiellement sur les antécédents spécifiques du recourant. En outre, on comprend du jugement que la cour cantonale a également retenu un défaut de prise de conscience du recourant dès lors notamment que, lors de son audition du 17 décembre 2020 à la police, celui-ci a déclaré de façon mensongère que C.________ n'était plus son employé depuis le contrôle de l'inspectorat du travail en 2019 (cf. PV d'audition n° 1, p. 2).</w:t>
      </w:r>
    </w:p>
    <w:p>
      <w:r>
        <w:t>Il s'ensuit que le recourant ne saurait être suivi lorsqu'il soutient que la cour cantonale aurait fondé son pronostic défavorable sur "un comportement futur totalement incertain". Cela étant, elle pouvait, sans arbitraire ni violation du droit fédéral, considérer que le fait qu'il ait vendu la société par laquelle il avait employé illégalement C.________ n'apparaissait pas de nature à renverser le pronostic défavorable retenu, dès lors qu'il était susceptible de développer d'autres activités économiques l'amenant à recruter des étrangers. A cet égard, le seul fait qu'il était inscrit au chômage au moment du jugement attaqué ne signifie pas qu'il n'emploiera pas de personnes à l'avenir.</w:t>
      </w:r>
    </w:p>
    <w:p>
      <w:r>
        <w:t>Le grief est rejeté dans la mesure où il est recevable.</w:t>
      </w:r>
    </w:p>
    <w:p>
      <w:r>
        <w:rPr>
          <w:b/>
        </w:rPr>
        <w:t>E. 2.6</w:t>
      </w:r>
    </w:p>
    <w:p>
      <w:r>
        <w:t>Le recourant reproche à la cour cantonale de ne pas avoir examiné la possibilité qu'il soit condamné à une peine pécuniaire ou à un travail d'intérêt général, ni en quoi ces peines ne seraient pas exécutables.</w:t>
      </w:r>
    </w:p>
    <w:p>
      <w:r>
        <w:t>Il sied d'abord de relever que, s'agissant du travail d'intérêt général, le recourant semble perdre de vue que l'ancien art. 37 al. 1 CP , en vigueur jusqu'au 31 décembre 2017, qui prévoyait qu'à la place d'une peine privative de liberté de moins de six mois ou d'une peine pécuniaire de 180 jours-amende au plus, le juge pouvait ordonner, avec l'accord de l'auteur, un travail d'intérêt général de 720 heures au plus, a été abrogé. Depuis lors, le travail d'intérêt général est régi par l' art. 79a CP , disposition figurant parmi celles du Titre 4 du Code pénal, relatif à l'exécution des peines, le législateur suivant en cela le souhait de la majorité des cantons, qui avait demandé que le travail d'intérêt général constituât une forme d'exécution de peine plutôt qu'un genre de peine en tant que tel (cf. Message du Conseil fédéral relatif à la modification du code pénal et du code pénal militaire [Réforme du droit des sanctions] du 4 avril 2012, FF 2012 4385, spéc. p. 4392 et 4401; arrêt 6B_1231/2020 du 12 mai 2021 consid. 1.5.1). Par ailleurs, l' art. 41 al. 1 CP a également été modifié depuis le 1er janvier 2018 (cf.</w:t>
      </w:r>
    </w:p>
    <w:p>
      <w:r>
        <w:t>supra consid. 2.2 et</w:t>
      </w:r>
    </w:p>
    <w:p>
      <w:r>
        <w:t>infra consid. 3.2).</w:t>
      </w:r>
    </w:p>
    <w:p>
      <w:r>
        <w:t>En l'occurrence, contrairement à ce que soutient le recourant, on comprend de la motivation de la cour cantonale que, pour des motifs de prévention spéciale, seule une peine privative de liberté pouvait être prononcée. Cette appréciation apparaît conforme au droit fédéral (cf.</w:t>
      </w:r>
    </w:p>
    <w:p>
      <w:r>
        <w:t>supra consid. 2.2), étant précisé que le recourant a déjà été condamné par le passé à deux reprises à des peines pécuniaires pour le même type d'infractions et n'a, malgré cela, pas hésité à continuer à employer illégalement C.________.</w:t>
      </w:r>
    </w:p>
    <w:p>
      <w:r>
        <w:t>Le grief du recourant est dès lors rejeté.</w:t>
      </w:r>
    </w:p>
    <w:p>
      <w:r>
        <w:rPr>
          <w:b/>
        </w:rPr>
        <w:t>E. 3</w:t>
      </w:r>
    </w:p>
    <w:p>
      <w:r>
        <w:t>Le recourant invoque une violation de l' art. 8 al. 1 Cst. Il soutient que la peine prononcée serait excessive en comparaison d'une autre affaire du même type. Il invoque un arrêt du Tribunal fédéral du 15 novembre 2017 (6B_372/2017), dans lequel un employeur a été condamné, pour emploi d'étrangers sans autorisation en situation de récidive, à une peine privative de liberté ferme de trois mois ainsi qu'à une peine pécuniaire de 30 jours-amende à 70 fr. le jour, après avoir été condamné à six reprises sur une période totale de quatre ans notamment pour emploi d'étrangers sans autorisation.</w:t>
      </w:r>
    </w:p>
    <w:p>
      <w:r>
        <w:rPr>
          <w:b/>
        </w:rPr>
        <w:t>E. 3.1</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 ATF 120 IV 136 consid. 3a et les arrêts cités; arrêts 6B_1345/2021 du 5 octobre 2022 consid. 1.5.1; 6B_432/2021 du 21 février 2022 consid. 4.3.1 et la référence citée). Les disparités en cette matière s'expliquent normalement par le principe de l'individualisation des peines, voulu par le législateur; elles ne suffisent pas en elles-mêmes pour conclure à un abus du pouvoir d'appréciation ( ATF 141 IV 61 consid. 6.3.2 et les arrêts cités). La comparaison est généralement stérile, dès lors qu'il existe presque toujours des différences entre les circonstances, objectives et subjectives, que le juge doit prendre en considération dans chacun des cas (arrêts 6B_630/2021 du 2 juin 2022 consid. 1.3.9; 6B_1035/2021 du 16 décembre 2021 consid. 2.5.1; 6B_1403/2020 du 5 mai 2021 consid. 2.3).</w:t>
      </w:r>
    </w:p>
    <w:p>
      <w:r>
        <w:rPr>
          <w:b/>
        </w:rPr>
        <w:t>E. 3.2</w:t>
      </w:r>
    </w:p>
    <w:p>
      <w:r>
        <w:t>En l'espèce, force est d'abord de constater que l'arrêt 6B_372/2017 portait uniquement sur la question du genre de peine à prononcer et non sur celle de la quotité de la peine, qui n'a pas été discutée, ce grief n'ayant pas été soulevé et le Tribunal fédéral étant tenu par l'interdiction de la</w:t>
      </w:r>
    </w:p>
    <w:p>
      <w:r>
        <w:t>reformatio in pejus. Le recourant ne peut dès lors rien en tirer sous cet angle. On relèvera au demeurant que l'affaire citée par le recourant a été rendue sous l'ancien droit des sanctions, en vigueur jusqu'à la fin de l'année 2017, dont la conception était d'éviter les courtes peines de prison ou d'arrêt, qui font obstacle à la socialisation de l'auteur, et de leur substituer d'autres sanctions (cf. ATF 134 IV 97 consid. 4). Ainsi, aux termes de l'art. 41 al. 1 aCP, dans sa teneur jusqu'au 31 décembre 2017,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(cf. arrêt 6B_372/2017 précité consid. 1.1 et les références citées).</w:t>
      </w:r>
    </w:p>
    <w:p>
      <w:r>
        <w:t>Il s'ensuit que le grief du recourant doit être rejeté.</w:t>
      </w:r>
    </w:p>
    <w:p>
      <w:r>
        <w:rPr>
          <w:b/>
        </w:rPr>
        <w:t>E. 4</w:t>
      </w:r>
    </w:p>
    <w:p>
      <w:r>
        <w:t>Compte tenu de ce qui précède, 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