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6B_566/2020 vom 8. Juni 2020</w:t>
      </w:r>
    </w:p>
    <w:p>
      <w:r>
        <w:t>Bundesgericht, 2020-06-08, FR</w:t>
      </w:r>
    </w:p>
    <w:p>
      <w:r>
        <w:rPr>
          <w:b/>
        </w:rPr>
        <w:t xml:space="preserve">Quelle: </w:t>
      </w:r>
      <w:r>
        <w:t>https://mcp.opencaselaw.ch/entscheid/bger_6B_566_2020</w:t>
      </w:r>
    </w:p>
    <w:p>
      <w:r>
        <w:t>FR: TF 6B_566/2020 du 8 juin 2020</w:t>
      </w:r>
    </w:p>
    <w:p>
      <w:r>
        <w:t>IT: TF 6B_566/2020 del 8 giugno 2020</w:t>
      </w:r>
    </w:p>
    <w:p>
      <w:pPr>
        <w:pStyle w:val="Heading2"/>
      </w:pPr>
      <w:r>
        <w:t>Erwägungen</w:t>
      </w:r>
    </w:p>
    <w:p>
      <w:r>
        <w:rPr>
          <w:b/>
        </w:rPr>
        <w:t>E. 1</w:t>
      </w:r>
    </w:p>
    <w:p>
      <w:r>
        <w:t>Par arrêt du 24 avril 2020, la Chambre pénale de recours de la Cour de justice de la République et canton de Genève a rejeté le recours formé par A.________ contre l'ordonnance du 31 octobre 2019 par laquelle le Ministère public genevois a refusé d'entrer en matière sur la plainte de la prénommée du 27 février 2019 contre B.________.</w:t>
      </w:r>
    </w:p>
    <w:p>
      <w:r>
        <w:t>La cour cantonale a relevé que si A.________ avait initialement déposé plainte contre B.________, il fallait comprendre son courrier du 1</w:t>
      </w:r>
    </w:p>
    <w:p>
      <w:r>
        <w:t>er avril 2019 comme une extension de sa démarche à C.________ et D.________. En substance, elle a estimé qu'aucun des trois ne s'était toutefois rendu coupable de calomnie ou d'induction de la justice en erreur.</w:t>
      </w:r>
    </w:p>
    <w:p>
      <w:r>
        <w:t>A.________ forme un recours en matière pénale au Tribunal fédéral contre l'arrêt du 24 avril 2020. En substance, elle conclut à son annulation et à celle de l'ordonnance de non-entrée en matière, à ce qu'ordre soit donné au Ministère public genevois de reprendre l'instruction par un autre procureur, en particulier qu'il procède à l'audition des différentes personnes énumérées. Subsidiairement, elle conclut à l'annulation de l'arrêt attaqué et au renvoi de la cause à l'autorité précédente pour nouvelle décision au sens des considérants. Elle requiert, par ailleurs, l'octroi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6B_17/2020 du 7 avril 2020 consid. 1.1; 6B_116/2020 du 25 mars 2020 consid. 2.1; 6B_175/2020 du 2 mars 2020 consid. 2.1).</w:t>
      </w:r>
    </w:p>
    <w:p>
      <w:r>
        <w:t>Lorsque la partie plaignante se plaint d'infractions distinctes, elle doit mentionner, par rapport à chacune d'elles, en quoi consiste son dommage (parmi d'autres: arrêts 6B_129/2020 du 18 mai 2020 consid. 1.1; 6B_203/2020 du 8 mai 2020 consid. 1.1).</w:t>
      </w:r>
    </w:p>
    <w:p>
      <w:r>
        <w:rPr>
          <w:b/>
        </w:rPr>
        <w:t>E. 2.2</w:t>
      </w:r>
    </w:p>
    <w:p>
      <w:r>
        <w:t>La recourante indique qu'elle entend faire valoir des prétentions civiles en réparation du tort moral de sa fille et du sien qu'elle exposera et chiffrera " dans la procédure ". Ce faisant, elle n'expose pas quelles conclusions civiles pourraient - dans leur principe et leur quotité - être déduites de chacune des infractions dont elle se plaint. Elle n'indique pas plus en quoi sa fille serait directement atteinte par les infractions en cause, les propos pour lesquels la recourante a déposé plainte se rapportant uniquement à son propre comportement. A défaut d'explications suffisantes sur ces questions, la recourante ne dispose pas de la qualité pour recourir sur le fond de la cause.</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Invoquant son droit d'être entendue, la recourante fait grief à la cour cantonale de ne pas avoir donné suite à ses réquisitions de preuve. Toutefois, ses développements ne visent qu'à démontrer en quoi ces mesures seraient nécessaires afin d'établir ses accusations. Elle ne fait ainsi valoir aucun moyen qui peut être séparé du fond et ses griefs ne sauraient non plus fonder sa qualité pour recourir.</w:t>
      </w:r>
    </w:p>
    <w:p>
      <w:r>
        <w:rPr>
          <w:b/>
        </w:rPr>
        <w:t>E. 3</w:t>
      </w:r>
    </w:p>
    <w:p>
      <w:r>
        <w:t>Sur le vu de ce qui précède, le recours doit être déclaré irrecevable selon la procédure simplifiée prévue par l' art. 108 al. 1 let. a et b LTF . Il était d'emblée dénué de chance de succès. L'assistance judiciaire doit être refusée ( art. 64 al. 1 LTF ). La recourante,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