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566/2014 vom 29. September 2014</w:t>
      </w:r>
    </w:p>
    <w:p>
      <w:r>
        <w:t>Bundesgericht, 2014-09-29, DE</w:t>
      </w:r>
    </w:p>
    <w:p>
      <w:r>
        <w:rPr>
          <w:b/>
        </w:rPr>
        <w:t xml:space="preserve">Quelle: </w:t>
      </w:r>
      <w:r>
        <w:t>https://mcp.opencaselaw.ch/entscheid/bger_6B_566_2014</w:t>
      </w:r>
    </w:p>
    <w:p>
      <w:r>
        <w:t>FR: TF 6B 566/2014 du 29 septembre 2014</w:t>
      </w:r>
    </w:p>
    <w:p>
      <w:r>
        <w:t>IT: TF 6B 566/2014 del 29 settembre 2014</w:t>
      </w:r>
    </w:p>
    <w:p>
      <w:pPr>
        <w:pStyle w:val="Heading2"/>
      </w:pPr>
      <w:r>
        <w:t>Regeste</w:t>
      </w:r>
    </w:p>
    <w:p>
      <w:r>
        <w:t>Qualifizierte Widerhandlung gegen das Betäubungsmittelgesetz, Willkür | Straftaten</w:t>
      </w:r>
    </w:p>
    <w:p>
      <w:pPr>
        <w:pStyle w:val="Heading2"/>
      </w:pPr>
      <w:r>
        <w:t>Erwägungen</w:t>
      </w:r>
    </w:p>
    <w:p>
      <w:r>
        <w:rPr>
          <w:b/>
        </w:rPr>
        <w:t>E. 1.1</w:t>
      </w:r>
    </w:p>
    <w:p>
      <w:r>
        <w:t>Der Beschwerdeführer rügt eine Verletzung des Grundsatzes in dubio pro reo in seinem Aspekt als Beweislastmaxime ( BGE 120 Ia 31 E. 2c S. 37 und 127 I 38 E. 2a S. 40). Das Bundesgericht prüft frei, ob sich bei objektiver Betrachtungsweise aus dem Urteil des Sachrichters ergibt, dass dieser zu einem Schuldspruch gelangt, weil der Angeklagte seine Unschuld nicht nachwies ( BGE 120 Ia 31 E. 2d S. 38).</w:t>
      </w:r>
    </w:p>
    <w:p>
      <w:r>
        <w:rPr>
          <w:b/>
        </w:rPr>
        <w:t>E. 1.2</w:t>
      </w:r>
    </w:p>
    <w:p>
      <w:r>
        <w:t>Weiter macht der Beschwerdeführer eine unrichtige Feststellung des Sachverhalts geltend. Art. 97 Abs. 1 BGG nennt indessen lediglich den zulässigen Beschwerdegrund. Der Beschwerdeführer müsste eine Verletzung von Art. 9 BV belegen. Willkür gemäss Art. 9 BV liegt vor, wenn der angefochtene Entscheid offensichtlich unhaltbar ist oder mit der tatsächlichen Situation in klarem Widerspruch steht. Dass eine andere Lösung oder Würdigung ebenfalls vertretbar oder gar zutreffender erscheint, genügt für die Annahme von Willkür nicht. Dem Grundsatz in dubio pro reo als Beweiswürdigungsmaxime sowie den vom Beschwerdeführer erwähnten Art. 10 StPO , Art. 32 Abs. 1 BV und Art. 6 Ziff. 2 EMRK kommt für die Beweiswürdigung keine über das Willkürverbot hinausgehende Bedeutung zu ( BGE 120 Ia 31 E. 2d S. 38; vgl. Urteile 6B_587/2014 vom 12. August 2014 E. 2.3 und 6B_730/2012 vom 24. Juni 2013 E. 1.2). Die Willkürrüge muss in der Beschwerde explizit vorgebracht und substanziiert begründet werden ( Art. 42 Abs. 2 und Art. 106 Abs. 2 BGG ). Auf appellatorische Kritik am angefochtenen Entscheid tritt das Bundesgericht nicht ein ( BGE 137 IV 1 E. 4.2.3; 140 III 264 E. 2.3).</w:t>
      </w:r>
    </w:p>
    <w:p>
      <w:r>
        <w:rPr>
          <w:b/>
        </w:rPr>
        <w:t>E. 1.3</w:t>
      </w:r>
    </w:p>
    <w:p>
      <w:r>
        <w:t>Im Übrigen legt das Bundesgericht seinem Urteil den Sachverhalt zugrunde, den die Vorinstanz festgestellt hat ( Art. 105 Abs. 1 BGG ).</w:t>
      </w:r>
    </w:p>
    <w:p>
      <w:r>
        <w:rPr>
          <w:b/>
        </w:rPr>
        <w:t>E. 2.1</w:t>
      </w:r>
    </w:p>
    <w:p>
      <w:r>
        <w:t>Der Beschwerdeführer beantragt (Rechtsbegehren Ziff. 3), von der Anklage der qualifizierten Widerhandlung gegen das BetmG wegen Verletzung der Unschuldsvermutung freigesprochen zu werden. Er begründet den Antrag damit, dass die Vorinstanz die Aussagen von A.________ als glaubwürdiger beurteile, diese aber insbesondere vor der Erstinstanz vage und unbeständig waren. Indem sie seine Aussage unberücksichtigt lasse, dass A.________ vielleicht jemanden decken wolle, sowie es als typisch und gerichtsnotorisch für Drogendelikte werte, dass ausser Mobiltelefonen und SIM-Karten kein verdächtiges Material beschlagnahmt werden konnte (dazu Urteil S. 9), überschreite sie die Grenzen der freien Beweiswürdigung. Die bei ihm (dem Beschwerdeführer) vom 19. Juli bis 25. Oktober 2011 registrierten 231 telefonischen Verbindungen bewiesen "gar nichts" (nach Aussage des Beschwerdeführers ging es dabei um das Betanken seines Fahrzeugs, Urteil S. 10 ). Die Vorinstanz verstosse gegen die Unschuldsvermutung. Diese sei auch verletzt, wenn die Vorinstanz übersehe, dass ein Leben (fast) ohne Bargeld in der heutigen Zeit durchaus möglich sei (dazu Urteil S. 10). Die Vorinstanz verstosse betreffend Anklage Ziff. 2.2 (vgl. Urteil S. 11 ff.) gegen die Unschuldsvermutung, indem sie einen Kauf von 10 g Kokain und einen Weiterverkauf annehme. "Er hätte auch weniger kaufen können, was ja auch tatsächlich der Fall war." Betreffend Anklage Ziff. 2.3 und 2.4 (vgl. Urteil S. 14 ff. und 17 ff.) betrachte die Vorinstanz erneut unverständlicherweise A.________ als glaubwürdig und übersehe zahlreiche Widersprüche. Er (der Beschwerdeführer) solle 400 g Kokain gekauft haben, ohne dass ein Abnehmer bekannt sei. Das sei absolut weltfremd. Es liege Beweislosigkeit und Verletzung der Unschuldsvermutung vor.</w:t>
      </w:r>
    </w:p>
    <w:p>
      <w:r>
        <w:rPr>
          <w:b/>
        </w:rPr>
        <w:t>E. 2.2</w:t>
      </w:r>
    </w:p>
    <w:p>
      <w:r>
        <w:t>Die Vorinstanz führt aus, der Beschwerdeführer bestreite, von A.________ Kokain bezogen bzw. das erworbene Kokain an Dritte verkauft zu haben. Sie geht entgegen der Erstinstanz davon aus, dass dessen Aussagen glaubhaft sind. In der Folge prüft sie die Sache ausführlich (Urteil S. 7 - 22). Auf die appellatorischen Vorbringen des Beschwerdeführers ist nicht einzutreten.</w:t>
      </w:r>
    </w:p>
    <w:p>
      <w:r>
        <w:rPr>
          <w:b/>
        </w:rPr>
        <w:t>E. 3</w:t>
      </w:r>
    </w:p>
    <w:p>
      <w:r>
        <w:t>Aufhebung des Urteils und Rückweisung der Sache kommen somit nicht in Betracht (Ziff. 1 und 11 der Rechtsbegehren). Die Busse von Fr. 200.-- betrifft den nicht Gegenstand des Berufungsverfahrens bildenden Konsum von Betäubungsmitteln (Urteil S. 5 und 28). Das Bundesgericht hat in diesem Punkt keine Verurteilung auszusprechen. Auf das Rechtsbegehren Ziff. 2 ist nicht einzutreten. Die Rechtsbegehren Ziff. 4 - 9 begründet der Beschwerdeführer nicht, so dass darauf nicht einzutreten ist ( Art. 42 BGG ). Insoweit sie im Zusammenhang mit der beantragten Gutheissung der Beschwerde stehen, hat es angesichts des Verfahrensausgangs bei der vorinstanzlichen Entscheidung sein Bewenden. Zum Rechtsbegehren Ziff. 10 ist anzumerken, dass die Parteientschädigung (in aller Regel) der Partei auszurichten ist, wozu kein Anlass besteht. Der Rechtsvertreter ist nicht Partei im Sinne von Art. 68 BGG .</w:t>
      </w:r>
    </w:p>
    <w:p>
      <w:r>
        <w:rPr>
          <w:b/>
        </w:rPr>
        <w:t>E. 4</w:t>
      </w:r>
    </w:p>
    <w:p>
      <w:r>
        <w:t>Auf die Beschwerde ist nicht einzutreten.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