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6B_564/2020 vom 11. Juni 2020</w:t>
      </w:r>
    </w:p>
    <w:p>
      <w:r>
        <w:t>Bundesgericht, 2020-06-11, DE</w:t>
      </w:r>
    </w:p>
    <w:p>
      <w:r>
        <w:rPr>
          <w:b/>
        </w:rPr>
        <w:t xml:space="preserve">Quelle: </w:t>
      </w:r>
      <w:r>
        <w:t>https://mcp.opencaselaw.ch/entscheid/bger_6B_564_2020</w:t>
      </w:r>
    </w:p>
    <w:p>
      <w:r>
        <w:t>FR: TF 6B_564/2020 du 11 juin 2020</w:t>
      </w:r>
    </w:p>
    <w:p>
      <w:r>
        <w:t>IT: TF 6B_564/2020 del 11 giugno 2020</w:t>
      </w:r>
    </w:p>
    <w:p>
      <w:pPr>
        <w:pStyle w:val="Heading2"/>
      </w:pPr>
      <w:r>
        <w:t>Erwägungen</w:t>
      </w:r>
    </w:p>
    <w:p>
      <w:r>
        <w:rPr>
          <w:b/>
        </w:rPr>
        <w:t>E. 1</w:t>
      </w:r>
    </w:p>
    <w:p>
      <w:r>
        <w:t>Oberstaatsanwaltschaft des Kantons Luzern,</w:t>
      </w:r>
    </w:p>
    <w:p>
      <w:r>
        <w:rPr>
          <w:b/>
        </w:rPr>
        <w:t>E. 2</w:t>
      </w:r>
    </w:p>
    <w:p>
      <w:r>
        <w:t>Die Verfahren 6B_564/2020 und 6B_565/2020 stehen in einem engen Zusammenhang, weshalb sie antragsgemäss zu vereinigen und gemeinsam zu erledigen sind.</w:t>
      </w:r>
    </w:p>
    <w:p>
      <w:r>
        <w:rPr>
          <w:b/>
        </w:rPr>
        <w:t>E. 3</w:t>
      </w:r>
    </w:p>
    <w:p>
      <w:r>
        <w:t>Gemäss Art. 42 Abs. 2 BGG ist in der Beschwerdebegründung in gedrängter Form unter Bezugnahme auf den angefochtenen Entscheid darzulegen, inwiefern dieser Recht verletzt.</w:t>
      </w:r>
    </w:p>
    <w:p>
      <w:r>
        <w:rPr>
          <w:b/>
        </w:rPr>
        <w:t>E. 4</w:t>
      </w:r>
    </w:p>
    <w:p>
      <w:r>
        <w:t>Die Vorinstanz erwägt in den beiden Urteilen vom 1. April 2020, dass den Gesuchen um Strafvollzug in der Form des Electronic Monitoring und der gemeinnützigen Arbeit zu Recht keine Folge geleistet worden sei. Der Beschwerdeführer erfülle die für diese Vollzugsformen vorgesehene gesetzliche Erwartung der Nichtbegehung weiterer Straftaten nicht. Zur Begründung verweist die Vorinstanz namentlich auf die zahlreichen Vorstrafen des Beschwerdeführers, auf den Umstand, dass er sich durch frühere Verurteilungen nicht von der Verübung weiterer Delikte hat abhalten lassen sowie darauf, dass die grosse Zahl von Verurteilungen seine Mühe zum Ausdruck bringe, sich rechtsgetreu zu verhalten. Mit diesen Erwägungen befasst sich der Beschwerdeführer vor Bundesgericht nicht rechtsgenüglich. Dass er die vorinstanzlich beurteilte von ihm ausgehende "Wiederholungsgefahr" selbst "für sehr weit hergeholt" hält, ist nicht massgeblich und im Übrigen auch nicht geeignet, eine Ermessensfehlerhaftigkeit oder eine sonstige Bundesrechtsverletztung der vorinstanzlichen Urteile aufzuzeigen. Abgesehen davon beschlagen die weiteren Vorbringen des Beschwerdeführers die seinerzeitigen Verurteilungen und Strafen, um die es heute nicht mehr geht und die auch nicht mehr zur Diskussion gestellt werden können. Aus den Beschwerden ergibt sich nicht, inwiefern die Vorinstanz das Recht im Sinne von Art. 95 BGG verletzt haben könnte. Mangels tauglicher Begründung kann darauf im Verfahren nach Art. 108 BGG nicht ein getreten werden.</w:t>
      </w:r>
    </w:p>
    <w:p>
      <w:r>
        <w:rPr>
          <w:b/>
        </w:rPr>
        <w:t>E. 5</w:t>
      </w:r>
    </w:p>
    <w:p>
      <w:r>
        <w:t>Die Gerichtskosten sind dem Beschwerdeführer auszuerlegen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