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6B_562/2014 vom 14. Januar 2015</w:t>
      </w:r>
    </w:p>
    <w:p>
      <w:r>
        <w:t>Bundesgericht, 2015-01-14, FR</w:t>
      </w:r>
    </w:p>
    <w:p>
      <w:r>
        <w:rPr>
          <w:b/>
        </w:rPr>
        <w:t xml:space="preserve">Quelle: </w:t>
      </w:r>
      <w:r>
        <w:t>https://mcp.opencaselaw.ch/entscheid/bger_6B_562_2014</w:t>
      </w:r>
    </w:p>
    <w:p>
      <w:r>
        <w:t>FR: TF 6B_562/2014 du 14 janvier 2015</w:t>
      </w:r>
    </w:p>
    <w:p>
      <w:r>
        <w:t>IT: TF 6B_562/2014 del 14 gennaio 2015</w:t>
      </w:r>
    </w:p>
    <w:p>
      <w:pPr>
        <w:pStyle w:val="Heading2"/>
      </w:pPr>
      <w:r>
        <w:t>Erwägungen</w:t>
      </w:r>
    </w:p>
    <w:p>
      <w:r>
        <w:rPr>
          <w:b/>
        </w:rPr>
        <w:t>E. 1</w:t>
      </w:r>
    </w:p>
    <w:p>
      <w:r>
        <w:t>Le recourant s'en prend à l'établissement des faits invoquant la violation de l'interdiction de l'arbitraire et du principe in dubio pro reo.</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ATF 140 III 16 consid. 2.1 p. 18 s.). Ce dernier reproche se confond avec celui déduit de la violation du principe in dubio pro reo ( art. 32 Cst. , art.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IV 1 consid. 4.2.3 p. 5).</w:t>
      </w:r>
    </w:p>
    <w:p>
      <w:r>
        <w:t>En tant que le recourant tente uniquement de démontrer que la cour cantonale aurait dû éprouver des doutes sur certains points, les moyens déduits de l'arbitraire et de la présomption d'innocence n'ont pas de portée distincte (cf. ATF 127 I 38 consid. 2a p. 41).</w:t>
      </w:r>
    </w:p>
    <w:p>
      <w:r>
        <w:rPr>
          <w:b/>
        </w:rPr>
        <w:t>E. 1.2</w:t>
      </w:r>
    </w:p>
    <w:p>
      <w:r>
        <w:t>Le recourant soutient que la cour cantonale a arbitrairement considéré qu'il avait fait usage de pressions sur B.________ pour qu'il retire sa plainte. Il lui reproche en outre d'avoir considéré que les déclarations de ce dernier à l'audience de première instance, sensiblement différentes de celles de l'objet de sa plainte puisqu'aucune arme n'aurait été utilisée, ne devaient pas être prises en compte.</w:t>
      </w:r>
    </w:p>
    <w:p>
      <w:r>
        <w:t>Contrairement à ce que semble penser le recourant, la cour cantonale n'a pas retenu que le retrait de plainte de B.________ aurait résulté de " pressions ". Elle a uniquement déduit du fait que le recourant avait contresigné ce document que son " influence " (dont la cour cantonale n'a pas qualifié la nature) sur cette décision avait été manifeste. Quoi qu'il en soit, le point de fait pertinent est moins de savoir si le retrait de plainte de B.________ a résulté de pressions de la part du recourant, que de déterminer laquelle des versions données par l'intéressé (lors du dépôt de plainte ou après retrait de celle-ci) doit être considérée comme déterminante. A cet égard, la cour cantonale pouvait, sans arbitraire, juger que le récit de l'intéressé lors du dépôt de plainte, confirmé par les déclarations constantes de A.________ et d'autres éléments du dossier (cf. infra consid. 1.3), était plus convaincant que les explications jugées " minimalistes " fournies par B.________ devant le juge de première instance après retrait de sa plainte.</w:t>
      </w:r>
    </w:p>
    <w:p>
      <w:r>
        <w:rPr>
          <w:b/>
        </w:rPr>
        <w:t>E. 1.3</w:t>
      </w:r>
    </w:p>
    <w:p>
      <w:r>
        <w:t>Le recourant reproche à la cour cantonale d'avoir retenu qu'il était muni d'une arme. Il expose que ses vêtements ne lui permettaient pas de dissimuler cette dernière. En outre, il fait grief à la juridiction cantonale d'avoir retenu comme probantes les déclarations de A.________, laquelle aurait été la seule personne à déclarer qu'il était muni d'une arme.</w:t>
      </w:r>
    </w:p>
    <w:p>
      <w:r>
        <w:t>A la suite du premier juge, la cour cantonale a forgé sa conviction sur la base des déclarations concordantes de B.________ et A.________ concernant tant le déroulement des faits que la description de l'arme. La description de celle-ci correspondait d'ailleurs à l'arme saisie ultérieurement chez le recourant. En outre, les explications de B.________ et A.________ avaient été corroborées par le témoignage des deux filles de celle-ci, lesquelles ont pu observer, immédiatement après l'altercation, des marques rouges au niveau du coup et/ou du front de B.________. Enfin, les récits de A.________ étaient constants, contrairement à ceux du recourant. Partant, il ne peut rien tirer de ses allégations tendant à faire valoir que seule A.________ aurait aperçu l'arme en question et que ses vêtements ne lui auraient pas permis de la dissimuler, puisqu'il ressort de l'appréciation de la cour cantonale, dénuée d'arbitraire, que deux protagonistes ont vu cette arme (cf. supra consid. 1.2). Le grief, appellatoire, est irrecevable.</w:t>
      </w:r>
    </w:p>
    <w:p>
      <w:r>
        <w:rPr>
          <w:b/>
        </w:rPr>
        <w:t>E. 1.4</w:t>
      </w:r>
    </w:p>
    <w:p>
      <w:r>
        <w:t>En définitive, compte tenu d'une appréciation des preuves exempte d'arbitraire, la cour d'appel était fondée à condamner le recourant pour tentative de contrainte et infraction à la LArm, dont le recourant ne discute pas la réalisation des conditions ( art. 42 al. 2 LTF ).</w:t>
      </w:r>
    </w:p>
    <w:p>
      <w:r>
        <w:t>Pour le surplus, les conclusions du recourant tendant à sa libération de l'infraction de violation de domicile ne font l'objet d'aucun développement dans son mémoire. Il ne formule ainsi aucun grief conforme au devoir de motivation de l' art. 42 al. 2 LTF et ses conclusions sont irrecevables sur ce point.</w:t>
      </w:r>
    </w:p>
    <w:p>
      <w:r>
        <w:rPr>
          <w:b/>
        </w:rPr>
        <w:t>E. 2</w:t>
      </w:r>
    </w:p>
    <w:p>
      <w:r>
        <w:t>Le recourant conteste la peine prononcée à son encontre à plusieurs égards.</w:t>
      </w:r>
    </w:p>
    <w:p>
      <w:r>
        <w:rPr>
          <w:b/>
        </w:rPr>
        <w:t>E. 2.1</w:t>
      </w:r>
    </w:p>
    <w:p>
      <w:r>
        <w:t>La juridiction cantonale a considéré que la culpabilité du recourant était importante. A charge, il y avait lieu de retenir le concours d'infractions et l'agression veule commise par le recourant, qui s'en était pris à un handicapé de manière brutale. Il avait déjà été condamné pour des infractions de même nature, soit à deux reprises pour lésions corporelles simples qualifiées et à trois reprises pour infractions à la LCR, lesquelles n'étaient pas anodines. En outre, le recourant faisait l'objet d'une procédure pénale pour le même type d'actes délictueux. Au regard de ces condamnations antérieures, la cour cantonale a relevé une propension inquiétante des actes de violence du recourant ainsi qu'une absence totale de prise de conscience. Elle n'a retenu aucun élément à décharge, considérant que le retrait de plainte était notamment le résultat de l'influence du recourant.</w:t>
      </w:r>
    </w:p>
    <w:p>
      <w:r>
        <w:rPr>
          <w:b/>
        </w:rPr>
        <w:t>E. 2.2</w:t>
      </w:r>
    </w:p>
    <w:p>
      <w:r>
        <w:t>Le recourant dénonce tout d'abord une violation de l' art. 47 CP .</w:t>
      </w:r>
    </w:p>
    <w:p>
      <w:r>
        <w:t>Les règles générales régissant la fixation de la peine ont été rappelées dans les arrêts publiés aux ATF 136 IV 55 consid. 5.4 ss p. 59 ss et 134 IV 17 consid. 2.1 p. 19 s. Il suffit d'y renvoyer.</w:t>
      </w:r>
    </w:p>
    <w:p>
      <w:r>
        <w:t>Le recourant reproche à la cour cantonale d'avoir accordé une importance disproportionnée aux éléments à charge et d'avoir trop peu tenu compte des éléments à décharge. Par ailleurs, la décision attaquée aurait ignoré la relation amicale qui l'unissait à B.________. Le recourant n'expose pas quel élément précis se serait vu accorder trop d'importance ou aurait été omis. Par ailleurs, il n'explique pas en quoi sa prétendue relation amicale avec B.________ aurait pu avoir une influence sur la peine prononcée à son encontre. Sans plus de motivation, un tel grief est irrecevable (cf. art. 42 al. 2 LTF ). Pour le surplus, le recourant ne soutient pas que la cour cantonale se serait fondée sur des critères étrangers à l' art. 47 CP pour fixer la peine ou que celle-ci serait exagérément sévère. En l'absence de tout grief à cet égard, il n'y a pas à examiner cette question.</w:t>
      </w:r>
    </w:p>
    <w:p>
      <w:r>
        <w:rPr>
          <w:b/>
        </w:rPr>
        <w:t>E. 2.3</w:t>
      </w:r>
    </w:p>
    <w:p>
      <w:r>
        <w:t>Le recourant invoque une violation de l' art. 48 CP . Hormis le fait qu'il n'expose pas quelle circonstance évoquée dans cette disposition aurait été méconnue par la juridiction précédente, son grief est de toute manière infondé, la cour cantonale ayant considéré qu'il n'existait en l'espèce aucune circonstance atténuante.</w:t>
      </w:r>
    </w:p>
    <w:p>
      <w:r>
        <w:rPr>
          <w:b/>
        </w:rPr>
        <w:t>E. 2.4</w:t>
      </w:r>
    </w:p>
    <w:p>
      <w:r>
        <w:t>Le recourant reproche à la cour cantonale d'avoir violé l' art. 34 CP , en prononçant à son encontre une peine privative de liberté plutôt qu'une peine pécuniaire.</w:t>
      </w:r>
    </w:p>
    <w:p>
      <w:r>
        <w:t>La cour cantonale a retenu, d'une part, que le recourant avait, au vu de ses antécédents et des faits de la cause, une propension inquiétante à la violence et, d'autre part, que les peines antérieures prononcées sous forme pécuniaire ou de travaux d'intérêt général ne l'ont pas empêché de récidiver. Ces considérations de prévention spéciale sont pertinentes dans ce contexte (cf. ATF 134 IV 82 consid. 4.1 p. 84 s. et 97 consid. 4.2 p. 100 ss). Le prononcé d'une peine privative de liberté n'est pas critiquable.</w:t>
      </w:r>
    </w:p>
    <w:p>
      <w:r>
        <w:rPr>
          <w:b/>
        </w:rPr>
        <w:t>E. 2.5</w:t>
      </w:r>
    </w:p>
    <w:p>
      <w:r>
        <w:t>Le recourant se plaint enfin d'une violation de l' art. 42 CP et estime qu'il doit être mis au bénéfice du sursis.</w:t>
      </w:r>
    </w:p>
    <w:p>
      <w:r>
        <w:t>Aux termes de l' art. 42 al. 1 CP ,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Le juge dispose d'un large pouvoir d'appréciation dans l'émission du pronostic visé par l' art. 42 CP . Ce dernier doit toutefois être posé sur la base de tous les éléments propres à éclairer l'ensemble du caractère de l'accusé et ses chances d'amendement. Il n'est pas admissible d'accorder un poids particulier à certains critères et d'en négliger d'autres qui sont pertinents ( ATF 135 IV 180 consid. 2.1 p. 186 et les arrêts cités). Le Tribunal fédéral n'intervient que s'il l'a excédé ou en a abusé, notamment lorsqu'il a omis de tenir compte de critères pertinents et s'est fondé exclusivement sur les antécédents du condamné ( ATF 134 IV 140 consid. 4.2 p. 143; 133 IV 201 consid. 2.3 p. 204).</w:t>
      </w:r>
    </w:p>
    <w:p>
      <w:r>
        <w:t>Le recourant introduit plusieurs faits non constatés dans le jugement attaqué. Il en va ainsi lorsqu'il allègue que sa situation professionnelle ne lui permettrait pas d'exécuter une peine ferme ou lorsqu'il évoque un grave accident dont il aurait été victime en 2006, cet élément étant au demeurant sans pertinence dans l'établissement du pronostic. Dans la mesure où le recourant n'établit pas l'arbitraire de l'omission de tels faits sous l'angle de l' art. 106 al. 2 LTF , il n'y a pas lieu d'en tenir compte. Pour le surplus, son grief tendant à faire valoir que la cour cantonale n'aurait pas dû tenir compte du jugement du 31 janvier 2014 de la Cour d'appel pénale du canton de Vaud au motif qu'il n'avait pas force de chose jugée est sans incidence au vu des autres antécédents du recourant, des circonstances du cas d'espèce et de son absence de prise de conscience (cf. supra consid. 2.1), lesquels ont permis à juste titre à la cour cantonale, à l'instar du tribunal de première instance, de retenir l'existence d'un pronostic défavorable.</w:t>
      </w:r>
    </w:p>
    <w:p>
      <w:r>
        <w:rPr>
          <w:b/>
        </w:rPr>
        <w:t>E. 3</w:t>
      </w:r>
    </w:p>
    <w:p>
      <w:r>
        <w:t>Le recourant sollicite une indemnité au sens de l' art. 429 CPP , sans indiquer ce qui justifierait qu'elle lui soit allouée. Comme aucun de ses griefs n'est admis, sa condamnation n'est pas remise en question et on ne voit pas ce qui pourrait fonder une telle indemnité.</w:t>
      </w:r>
    </w:p>
    <w:p>
      <w:r>
        <w:rPr>
          <w:b/>
        </w:rPr>
        <w:t>E. 4</w:t>
      </w:r>
    </w:p>
    <w:p>
      <w:r>
        <w:t>Au vu de ce qui précède, le recours doit être rejeté dans la mesure où il est recevable. Le recourant, qui succombe, supporte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