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6B_561/2014 vom 11. September 2014</w:t>
      </w:r>
    </w:p>
    <w:p>
      <w:r>
        <w:t>Bundesgericht, 2014-09-11, FR</w:t>
      </w:r>
    </w:p>
    <w:p>
      <w:r>
        <w:rPr>
          <w:b/>
        </w:rPr>
        <w:t xml:space="preserve">Quelle: </w:t>
      </w:r>
      <w:r>
        <w:t>https://mcp.opencaselaw.ch/entscheid/bger_6B_561_2014</w:t>
      </w:r>
    </w:p>
    <w:p>
      <w:r>
        <w:t>FR: TF 6B_561/2014 du 11 septembre 2014</w:t>
      </w:r>
    </w:p>
    <w:p>
      <w:r>
        <w:t>IT: TF 6B_561/2014 del 11 settembre 2014</w:t>
      </w:r>
    </w:p>
    <w:p>
      <w:pPr>
        <w:pStyle w:val="Heading2"/>
      </w:pPr>
      <w:r>
        <w:t>Erwägungen</w:t>
      </w:r>
    </w:p>
    <w:p>
      <w:r>
        <w:rPr>
          <w:b/>
        </w:rPr>
        <w:t>E. 1</w:t>
      </w:r>
    </w:p>
    <w:p>
      <w:r>
        <w:t>Les prétentions en indemnisation du prévenu sont indissociables de la procédure pénale et relèvent du recours en matière pénale ( ATF 139 IV 206 consid. 1 p. 208). Dirigé contre un jugement final ( art. 90 LTF ) rendu par une autorité cantonale de dernière instance ( art. 80 LTF ), le recours est en principe recevable.</w:t>
      </w:r>
    </w:p>
    <w:p>
      <w:r>
        <w:rPr>
          <w:b/>
        </w:rPr>
        <w:t>E. 2</w:t>
      </w:r>
    </w:p>
    <w:p>
      <w:r>
        <w:t>La recourante dénonce une violation de l' art. 429 CPP .</w:t>
      </w:r>
    </w:p>
    <w:p>
      <w:r>
        <w:rPr>
          <w:b/>
        </w:rPr>
        <w:t>E. 2.1</w:t>
      </w:r>
    </w:p>
    <w:p>
      <w:r>
        <w:t>Selon l' art. 429 al. 1 let. a CPP , le prévenu acquitté totalement ou en partie ou au bénéfice d'un classement a droit à une indemnité pour les dépenses occasionnées par l'exercice raisonnable de ses droits de procédure. L'indemnité concerne les dépenses du prévenu pour un avocat de choix ( ATF 138 IV 205 consid.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rPr>
          <w:b/>
        </w:rPr>
        <w:t>E. 2.2</w:t>
      </w:r>
    </w:p>
    <w:p>
      <w:r>
        <w:t>La recourante conteste la fixation du tarif horaire à 250 fr. Elle requiert le remboursement des honoraires de son avocat calculés sur la base d'un tarif horaire de 330 fr. A cet égard, elle se réfère à un arrêt du 4 novembre 2013 (6B_392/2013) du Tribunal fédéral.</w:t>
      </w:r>
    </w:p>
    <w:p>
      <w:r>
        <w:rPr>
          <w:b/>
        </w:rPr>
        <w:t>E. 2.2.1</w:t>
      </w:r>
    </w:p>
    <w:p>
      <w:r>
        <w:t>L'indemnité visée par l' art. 429 al. 1 let. a CPP doit correspondre au tarif usuel du barreau applicable dans le canton où la procédure se déroule et englober la totalité des coûts de défense ( YVAN JEANNERET/ANDRÉ KUHN, Précis de procédure pénale, 2013, n° 5065; CÉDRIC MIZEL/VALENTIN RÉTORNAZ, in Commentaire romand, Code de procédure pénale suisse, 2011, n° 35 ad art. 429 CPP ; NIKLAUS OBERHOLZER, Grundzüge des Strafprozessrechts, 3e éd., 2012, n° 1740). Elle doit couvrir l'entier des frais de défense usuels et raisonnables (arrêt 6B_392/2013 du 4 novembre 2013 consid. 2.3). Lorsqu'un tarif cantonal existe, il doit être pris en considération pour fixer le montant de l'indemnisation selon l' art. 429 al. 1 let. a CPP . Il sert de guide pour la détermination de ce qu'il faut entendre par frais de défense usuel (arrêt 6B_392/2013 du 4 novembre 2013 consid. 2.3).</w:t>
      </w:r>
    </w:p>
    <w:p>
      <w:r>
        <w:rPr>
          <w:b/>
        </w:rPr>
        <w:t>E. 2.2.2</w:t>
      </w:r>
    </w:p>
    <w:p>
      <w:r>
        <w:t>Dans l'arrêt cité par la recourante, le Tribunal fédéral a déclaré que la pratique vaudoise consistant à retenir un taux horaire</w:t>
      </w:r>
    </w:p>
    <w:p>
      <w:r>
        <w:t>réduit de 250 fr., par rapport au taux horaire usuel de 330 fr. à 350 fr., n'était pas compatible avec l' art. 429 CPP . Il expliquait que la pratique d'un tribunal ne pouvait constituer une base légale et équivaloir à une réglementation topique. Aussi, à défaut de tarif spécifique, fallait-il s'en tenir au tarif horaire usuel, tel qu'il se déduisait des critères énoncés à l'art. 45 al. 1 de la loi vaudoise du 24 septembre 2002 sur la profession d'avocat (LPav/VD; RSV 177.11), et qui, selon la jurisprudence de la Chambre des recours civile du Tribunal cantonal vaudois, était compris entre 330 et 350 fr.</w:t>
      </w:r>
    </w:p>
    <w:p>
      <w:r>
        <w:t>A la suite de cet arrêt, le Tribunal cantonal vaudois a adopté le 18 février 2014 une modification du Tarif des frais judiciaires pénaux (intitulé désormais Tarif des frais de procédure et indemnités en matière pénale [TFIP]; RSV 312.03.1; FAO du 28 février 2014, p. 3), entrée en vigueur le 1er avril 2014. Il a introduit un nouvel art. 26a qui fixe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2.3</w:t>
      </w:r>
    </w:p>
    <w:p>
      <w:r>
        <w:t>Evoquant ce Tarif vaudois, la cour cantonale a fixé le tarif horaire à 250 fr. en raison de la relative simplicité de l'affaire. La recourante conteste l'application de la modification du Tarif, qui n'est entrée en vigueur que le 1er avril 2014, à savoir postérieurement au jugement attaqué, daté du 31 mars 2014. Avec la recourante, il faut admettre que la modification du Tarif n'a pas d'effet rétroactif et que, partant, il n'y a pas lieu de s'écarter de l'arrêt du 4 novembre 2013 du Tribunal fédéral précité, selon lequel, à défaut de tarif spécifique, le tarif horaire est compris entre 330 et 350 fr. C'est du reste ce qu'a admis la Chambre des recours pénale du Tribunal cantonal vaudois dans une autre affaire (arrêt du 7 avril 2014 de la Chambre des recours pénale, consid. 2b). Le grief soulevé doit donc être admis.</w:t>
      </w:r>
    </w:p>
    <w:p>
      <w:r>
        <w:rPr>
          <w:b/>
        </w:rPr>
        <w:t>E. 3</w:t>
      </w:r>
    </w:p>
    <w:p>
      <w:r>
        <w:t>La recourante conteste le nombre d'heures retenues par la cour cantonale. Elle lui reproche de ne pas avoir tenu compte de la durée de l'audience du 31 mars 2014, à savoir 53 minutes.</w:t>
      </w:r>
    </w:p>
    <w:p>
      <w:r>
        <w:rPr>
          <w:b/>
        </w:rPr>
        <w:t>E. 3.1</w:t>
      </w:r>
    </w:p>
    <w:p>
      <w:r>
        <w:t>Selon l' art. 429 al. 2 CPP , l'autorité pénale examine d'office les prétentions du prévenu. Elle peut enjoindre à celui-ci de les chiffrer et de les justifier.</w:t>
      </w:r>
    </w:p>
    <w:p>
      <w:r>
        <w:t>Ignorant les opérations effectuées par l'avocat, les autorités pénales seront souvent dans l'impossibilité de fixer le montant de l'indemnité. Le prévenu a donc un devoir de collaboration ( STEFAN WEHRENBERG/ IRENE BERNHARD, in Basler Kommentar, Schweizerische Strafprozessordnung, 2011, n° 31 ad art. 429 CPP ). Ce devoir ne dispense toutefois pas les autorités pénales - qui doivent se prononcer d'office sur l'indemnité due au prévenu acquitté - de procéder à leur propre examen des faits ( YVONA GRIESSER, in Kommentar zur Schweizerischen Strafprozessordnung [StPO], 2010, n° 8 ad art. 429 CPP ). La renonciation à une indemnisation est certes possible. Un comportement passif peut, le cas échéant, équivaloir à une renonciation lorsque le prévenu ne réagit pas à l'invitation faite par l'autorité de chiffrer et de justifier ses prétentions (arrêt 6B_472/2012 du 13 novembre 2012, consid. 2.4).</w:t>
      </w:r>
    </w:p>
    <w:p>
      <w:r>
        <w:rPr>
          <w:b/>
        </w:rPr>
        <w:t>E. 3.2</w:t>
      </w:r>
    </w:p>
    <w:p>
      <w:r>
        <w:t>La recourante a déposé sa liste des opérations à l'audience d'appel du 31 mars 2014. L'audience en question n'y figurait pas. La cour cantonale ne pouvait en déduire que la recourante renonçait à toute indemnisation pour cette audience, puisque celle-ci était postérieure au dépôt de la liste et que, lors du dépôt de la liste, la recourante ignorait encore la durée de l'audience. Etant au courant de cette opération, la cour cantonale devait, conformément à la maxime d'instruction, compléter la liste des opérations de la recourante et tenir compte de la durée de l'audience pour calculer le montant de l'indemnité. En ne le faisant pas, elle a violé l' art. 429 al. 1 let. a CPP . Le grief soulevé doit donc être admis.</w:t>
      </w:r>
    </w:p>
    <w:p>
      <w:r>
        <w:rPr>
          <w:b/>
        </w:rPr>
        <w:t>E. 4</w:t>
      </w:r>
    </w:p>
    <w:p>
      <w:r>
        <w:t>Il résulte de ce qui précède que le recours doit être admis. Il convient donc d'annuler l'arrêt attaqué et de renvoyer la cause à la cour cantonale pour qu'elle fixe une nouvelle indemnité dans le sens des considérants.</w:t>
      </w:r>
    </w:p>
    <w:p>
      <w:r>
        <w:t>La recourante qui obtient gain de cause ne supporte pas de frais judiciaires ( art. 66 al. 1 LTF ) et peut prétendre à une indemnité de dépens à la charge du canton de Vaud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