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559/2018 vom 26. Oktober 2018</w:t>
      </w:r>
    </w:p>
    <w:p>
      <w:r>
        <w:t>Bundesgericht, 2018-10-26, FR</w:t>
      </w:r>
    </w:p>
    <w:p>
      <w:r>
        <w:rPr>
          <w:b/>
        </w:rPr>
        <w:t xml:space="preserve">Quelle: </w:t>
      </w:r>
      <w:r>
        <w:t>https://mcp.opencaselaw.ch/entscheid/bger_6B_559_2018</w:t>
      </w:r>
    </w:p>
    <w:p>
      <w:r>
        <w:t>FR: TF 6B 559/2018 du 26 octobre 2018</w:t>
      </w:r>
    </w:p>
    <w:p>
      <w:r>
        <w:t>IT: TF 6B 559/2018 del 26 ottobre 2018</w:t>
      </w:r>
    </w:p>
    <w:p>
      <w:pPr>
        <w:pStyle w:val="Heading2"/>
      </w:pPr>
      <w:r>
        <w:t>Regeste</w:t>
      </w:r>
    </w:p>
    <w:p>
      <w:r>
        <w:t>Fixation de la peine | Droit pénal (en général)</w:t>
      </w:r>
    </w:p>
    <w:p>
      <w:pPr>
        <w:pStyle w:val="Heading2"/>
      </w:pPr>
      <w:r>
        <w:t>Erwägungen</w:t>
      </w:r>
    </w:p>
    <w:p>
      <w:r>
        <w:rPr>
          <w:b/>
        </w:rPr>
        <w:t>E. 1</w:t>
      </w:r>
    </w:p>
    <w:p>
      <w:r>
        <w:t>Le recourant invoque notamment une violation des règles en matière de fixation de la peine en cas de concours ( art. 49 CP ) ainsi qu'une motivation insuffisante, non conforme à l' art. 41 al. 2 CP .</w:t>
      </w:r>
    </w:p>
    <w:p>
      <w:r>
        <w:rPr>
          <w:b/>
        </w:rPr>
        <w:t>E. 1.1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1.1.1</w:t>
      </w:r>
    </w:p>
    <w:p>
      <w:r>
        <w:t>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(arrêt 6B_483/2016 du 30 avril 2018 consid. 2.2 destiné à la publication; ATF 142 IV 265 IV 2.3.2, traduit au JdT 2017 IV 129; ATF 138 IV 120 consid. 5.2 p. 122, traduit au JdT 2013 IV 43). Que les dispositions pénales applicables prévoient abstraitement des peines de même genre ne suffit pas (arrêt 6B_483/2016 précité consid. 2.2 destiné à la publication; ATF 138 IV 120 consid. 5.2 p. 123; plus récemment arrêt 6B_1394/2017 du 2 août 2018 consid. 8.3.1). Si les sanctions envisagées concrètement ne sont pas du même genre, elles doivent être prononcées cumulativement ( ATF 142 IV 265 consid. 2.3.2; 138 IV 120 consid. 5.2 p. 122; 137 IV 57 consid. 4.3.1 p. 58). La peine privative de liberté et la peine pécuniaire ne sont pas des sanctions du même genre (arrêt 6B_483/2016 précité consid. 2.2 destiné à la publication;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134 IV 97 consid. 4.2.2 p. 100 s.). Le choix de la sanction doit être opéré en tenant compte au premier chef de l'adéquation de la peine, de ses effets sur l'auteur et sur sa situation sociale ainsi que de son efficacité du point de vue de la prévention ( ATF 137 II 297 consid. 2.3.4 p. 301; 134 IV 97 consid. 4.2 p. 100). La faute de l'auteur n'est en revanche pas déterminante ( ATF 137 II 297 consid. 2.3.4 p. 301; plus récemment arrêt 6B_420/2017 du 15 novembre 2017 consid. 2.1).</w:t>
      </w:r>
    </w:p>
    <w:p>
      <w:r>
        <w:rPr>
          <w:b/>
        </w:rPr>
        <w:t>E. 1.1.2</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 6B_688/2014 du 22 décembre 2017 consid. 27.2.1; plus récemment arrêt 6B_1175/2017 du 11 avril 2018 consid. 2.1). La jurisprudence avait admis que le juge puisse s'écarter de cette méthode concrète dans plusieurs configurations (cf. arrêt 6B_483/2016 précité consid. 2.4 destiné à la publication), notamment lorsque les différentes infractions étaient étroitement liées sur les plans matériel et temporel, de sorte qu'elles ne pouvaient être séparées et être jugées pour elles seules (arrêt 6B_1216/2017 du 11 juin 2018 consid. 1.1.1). Le Tribunal fédéral avait également considéré, exceptionnellement, conforme à l' art. 49 al. 1 CP une peine d'ensemble fixée sans qu'une peine hypothétique ait été préalablement arrêtée pour chaque infraction commise, dans un cas où aucune des infractions à trancher n'était clairement plus grave que les autres (arrêt 6B_483/2016 précité consid. 2.4 destiné à la publication se référant à l'arrêt 6B_499/2013 du 22 octobre 2013 consid. 1.8). Au vu des critiques formulées quant à l'insécurité que ces exceptions créaient et afin d'assurer une application uniforme de l' art. 49 al. 1 CP , le Tribunal fédéral est toutefois revenu sur ce point en soulignant que cette disposition ne prévoyait aucune exception (cf. arrêt 6B_483/2016 précité consid. 3.5.4 destiné à la publication).</w:t>
      </w:r>
    </w:p>
    <w:p>
      <w:r>
        <w:rPr>
          <w:b/>
        </w:rPr>
        <w:t>E. 1.1.3</w:t>
      </w:r>
    </w:p>
    <w:p>
      <w:r>
        <w:t>L'auteur ne doit pas être condamné plus sévèrement lorsque plusieurs infractions sont jugées en même temps que si ces infractions étaient jugées séparément (arrêt 6B_483/2016 précité consid. 3.3.3 destiné à la publication).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 art. 34 al. 1 CP . Une telle conversion n'est pas prévue par l' art. 49 al. 1 CP et est contraire à l' art. 49 al. 1 3 ème phrase CP qui prescrit que le juge est lié par le maximum légal de la peine (cf. arrêt 6B_483/2016 précité consid. 3.3.3 destiné à la publication; ACKERMANN/EGLI, Die Strafartschärfung - eine gesetzesgelöste Figur, Forumpoenale 03/2015, p. 156 ss, p. 161; MARKO CESAROV, Zur Gesamtstrafenbildung nach der konkreten Methode, Forumpoenale 02/2016, p. 97 ss, p. 99; GÜNTER STRATENWERTH, Gesamtstrafenbildung nach neuem Recht, Forumpoenale 6/2008 p. 356 ss, p. 358). L'admettre signifierait de plus revenir de manière générale à la méthode abstraite, dans le cadre de laquelle le genre de peine n'est fixé qu'après que la quotité de la peine d'ensemble l'ait été (cf. CESAROV, op. cit., p. 99). Or cette solution n'est pas celle choisie par le législateur. Ainsi, selon l' 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 art. 34 al. 1 CP . La solution légale actuellement en vigueur et notamment l' art. 49 al. 1 3 ème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 art. 34 al. 1 CP dans sa teneur entrée en vigueur au 1er janvier 2018 (cf. problématique déjà abordée dans l'arrêt 6B_483/2016 précité consid. 3.6 destiné à la publication).</w:t>
      </w:r>
    </w:p>
    <w:p>
      <w:r>
        <w:rPr>
          <w:b/>
        </w:rPr>
        <w:t>E. 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136 IV 55 consid. 5.6 p. 61; 134 IV 17 consid. 2.1 p. 19 s.; plus récemment arrêt 6B_335/2016 du 24 janvier 2017 consid. 3.1). Plus la peine est élevée, plus la motivation doit être complète ( ATF 127 IV 101 consid. 2c p. 105; plus récemment arrêts 6B_1141/2017 du 7 juin 2018 consid. 4.1; 6B_659/2014 du 22 décembre 2017 consid. 19.3). Conformément à l' art. 41 al. 2 CP , entré en vigueur le 1er janvier 2018, lorsque le juge choisit de prononcer à la place d'une peine pécuniaire une peine privative de liberté, il doit de plus motiver le choix de cette dernière peine de manière circonstanciée.</w:t>
      </w:r>
    </w:p>
    <w:p>
      <w:r>
        <w:rPr>
          <w:b/>
        </w:rPr>
        <w:t>E. 1.3</w:t>
      </w:r>
    </w:p>
    <w:p>
      <w:r>
        <w:t>En l'espèce, s'agissant de la nature des peines prononcées, l'autorité précédente a relevé que conformément à l' art. 61 al. 3 LPM , qui sanctionne la violation du droit à la marque par métier, lorsqu'une peine privative de liberté était prononcée, une peine pécuniaire devait l'être également. Elle a ensuite cité l' art. 34 al. 1 CP dans sa version en vigueur au moment des faits, qui prévoyait, à sa première phrase, que sauf disposition contraire de la loi, la peine pécuniaire ne pouvait excéder 360 jours-amende. Elle a ensuite retenu que dès lors que la quotité de la sanction excédait en l'espèce ce qui était compatible avec les seuls jours-amende, l' art. 61 al. 3 LPM ne laissait pas la possibilité de choisir entre l'une ou l'autre peine mais imposait de prononcer les deux cumulativement. S'agissant de la quotité des sanctions prononcées, l'autorité précédente a ensuite relevé la culpabilité très lourde du recourant, l'existence d'un concours d'infractions, le nombre considérable d'intérêts juridiquement protégés lésés, le fait que le recourant ne respectait ni le patrimoine, ni la propriété intellectuelle ni l'intégrité physique d'autrui, les nombreuses récidives commises en cours d'enquête, citant les infractions pour lesquelles le recourant était condamné, ses dénégations ainsi que son absence de prise de conscience ou de regret. Elle a également pris en compte le fait que le recourant n'avait pas récidivé depuis le jugement du 24 novembre 2015, le temps écoulé plaidant ainsi en sa faveur, que la plainte pour violation d'une obligation d'entretien avait été retirée et que le recourant avait gagné son appel sur un point, soit celui du concours imparfait, cet élément n'emportant toutefois pas de réduction de peine. Sur la base de ces éléments, l'autorité précédente a estimé adéquate une peine privative de liberté de 20 mois, une peine pécuniaire de 45 jours-amende ainsi qu'une amende de 800 francs.</w:t>
      </w:r>
    </w:p>
    <w:p>
      <w:r>
        <w:rPr>
          <w:b/>
        </w:rPr>
        <w:t>E. 1.4</w:t>
      </w:r>
    </w:p>
    <w:p>
      <w:r>
        <w:t>Ce raisonnement ne peut être suivi. Face à plusieurs infractions à sanctionner, l'autorité précédente aurait dû, conformément à la jurisprudence, fixer une peine de base pour l'une des violations du droit à la marque par métier ( art. 61 al. 3 LPM ) ou l'une des falsifications de marchandises par métier ( art. 155 ch. 2 CP ) - infractions abstraitement les plus graves -, en tenant compte de l'ensemble des circonstances aggravantes et atténuantes. Elle devait parallèlement trancher, s'agissant de cette peine de base, de la nature de cette sanction - peine privative de liberté et (cf. art. 61 al. 3 3 ème phrase LPM) ou peine pécuniaire - et motiver son choix. Dans un deuxième temps, elle devait examiner pour chacune des autres infractions commises si elle justifiait concrètement une peine pécuniaire ou une peine privative de liberté ou cas échéant une amende et la quotité hypothétique de dite sanction. Comme le relève le recourant, l'infraction de lésions corporelles simples qualifiées a été commise en avril 2012. Compte tenu de la peine prévue par l' art. 123 ch. 2 CP , la prescription était de sept ans ( art. 97 al. 1 let . c CP dans sa teneur au moment des faits). L'autorité précédente aurait donc dû tenir compte dans la quotité de cette peine hypothétique (et in fine, dans l'éventuelle peine d'ensemble) de la circonstance atténuante prévue par l' art. 48 al. 1 let . e CP, disposition non mentionnée dans le jugement entrepris (sur cette disposition et son application par l'autorité d'appel, cf. ATF 140 IV 145 consid. 3.1 p. 147 s. et les références citées). Ce n'est que si les peines hypothétiques pour ces infractions étaient de même nature que la ou l'une des ( art. 61 al. 3 3 ème phrase LPM) peine (s) de base envisagée (s) que l'autorité précédente pouvait faire application de l' art. 49 al. 1 CP et prononcer une peine d'ensemble pour toutes les infractions justifiant une sanction de même nature. Elle ne pouvait en revanche faire l'économie de ce raisonnement - choix et fixation de la peine de base puis, cas échéant, fixation d'une peine d'ensemble -, en arrêtant directement une peine unique pour en déduire que vu sa quotité seule une peine privative de liberté globale pouvait être prononcée. Au vu de ce qui précède (cf. supra consid. 1.1.3), il n'aurait pas non plus été admissible de sanctionner hypothétiquement les différentes infractions de peines pécuniaires et, au motif que leur somme, après aggravation, dépasse le maximum prévu par l' art. 34 al. 1 CP , transformer celles-ci en une peine privative de liberté.</w:t>
      </w:r>
    </w:p>
    <w:p>
      <w:r>
        <w:rPr>
          <w:b/>
        </w:rPr>
        <w:t>E. 2</w:t>
      </w:r>
    </w:p>
    <w:p>
      <w:r>
        <w:t>Au vu de ce qui précède, il s'impose d'admettre le recours, d'annuler le jugement entrepris et de renvoyer la cause à l'autorité précédente pour nouvelle décision dans le sens des considérants. Les autres griefs soulevés par le recourant sont en conséquence sans objet. Le recourant, qui obtient gain de cause, ne supportera pas de frais judiciaires ( art. 66 al. 1 LTF ). Il a droit à des dépens à la charge du canton de Vaud ( art. 68 al. 1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