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558/2019 vom 27. Juni 2019</w:t>
      </w:r>
    </w:p>
    <w:p>
      <w:r>
        <w:t>Bundesgericht, 2019-06-27, FR</w:t>
      </w:r>
    </w:p>
    <w:p>
      <w:r>
        <w:rPr>
          <w:b/>
        </w:rPr>
        <w:t xml:space="preserve">Quelle: </w:t>
      </w:r>
      <w:r>
        <w:t>https://mcp.opencaselaw.ch/entscheid/bger_6B_558_2019</w:t>
      </w:r>
    </w:p>
    <w:p>
      <w:r>
        <w:t>FR: TF 6B 558/2019 du 27 juin 2019</w:t>
      </w:r>
    </w:p>
    <w:p>
      <w:r>
        <w:t>IT: TF 6B 558/2019 del 27 giugno 2019</w:t>
      </w:r>
    </w:p>
    <w:p>
      <w:pPr>
        <w:pStyle w:val="Heading2"/>
      </w:pPr>
      <w:r>
        <w:t>Regeste</w:t>
      </w:r>
    </w:p>
    <w:p>
      <w:r>
        <w:t>Arbitraire ; observation des délais | Procédure pénale</w:t>
      </w:r>
    </w:p>
    <w:p>
      <w:pPr>
        <w:pStyle w:val="Heading2"/>
      </w:pPr>
      <w:r>
        <w:t>Erwägungen</w:t>
      </w:r>
    </w:p>
    <w:p>
      <w:r>
        <w:rPr>
          <w:b/>
        </w:rPr>
        <w:t>E. 1</w:t>
      </w:r>
    </w:p>
    <w:p>
      <w:r>
        <w:t>Le recourant produit une pièce qui ne ressort pas du dossier cantonal. Celle-ci est irrecevable (cf. art. 99 al. 1 LTF ).</w:t>
      </w:r>
    </w:p>
    <w:p>
      <w:r>
        <w:rPr>
          <w:b/>
        </w:rPr>
        <w:t>E. 2</w:t>
      </w:r>
    </w:p>
    <w:p>
      <w:r>
        <w:t>Le recourant fait grief à l'autorité précédente d'avoir établi les faits de manière arbitraire et d'avoir violé les art. 90, 91 al. 1 et 2 ainsi que 399 al. 3 CPP en considérant que sa déclaration d'appel écrite avait été déposée tardivement.</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rPr>
          <w:b/>
        </w:rPr>
        <w:t>E. 2.2</w:t>
      </w:r>
    </w:p>
    <w:p>
      <w:r>
        <w:t>Selon l' art. 91 CPP , un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La preuve de l'expédition d'un acte de procédure en temps utile incombe à la partie, respectivement à son avocat. Une preuve stricte est exigée, la vraisemblance prépondérante ne suffisant pas. Il convient en effet, en matière de délais, de s'en tenir à des principes simples et à des solutions claires, sous peine d'ouvrir la porte à de longues et oiseuses discussions, voire à des abus. Le pli recommandé est à cet égard une preuve aisée à établir, alors que, dans le cas d'un envoi par pli simple, la preuve peut être rapportée par différents moyens, en particulier par témoins (arrêt 6B_1317/2016 du 20 septembre 2017 consid. 3 et les références citées).</w:t>
      </w:r>
    </w:p>
    <w:p>
      <w:r>
        <w:rPr>
          <w:b/>
        </w:rPr>
        <w:t>E. 2.3</w:t>
      </w:r>
    </w:p>
    <w:p>
      <w:r>
        <w:t>La cour cantonale a exposé que le délai pour déposer la déclaration d'appel écrite était arrivé à échéance le 18 janvier 2019. Le sceau postal apposé sur le pli qui avait contenu cet acte indiquait la date du 19 janvier 2019. L'autorité précédente a considéré que le recourant n'avait pas apporté la preuve d'un dépôt le 18 janvier 2019 et a retenu que la déclaration d'appel écrite avait été envoyée le lendemain, soit après l'échéance du délai prévu à l' art. 399 al. 3 CPP .</w:t>
      </w:r>
    </w:p>
    <w:p>
      <w:r>
        <w:rPr>
          <w:b/>
        </w:rPr>
        <w:t>E. 2.4</w:t>
      </w:r>
    </w:p>
    <w:p>
      <w:r>
        <w:t>Le recourant ne conteste pas que le délai pour déposer sa déclaration d'appel écrite fût arrivé à échéance le 18 janvier 2019. Il affirme que la secrétaire de son avocat aurait déposé le pli qui contenait celle-ci à un office postal à cette date, après l'heure de la dernière levée du courrier. Cela expliquerait que le pli en question ne fût parvenu au centre de courrier que le 19 janvier 2019 et portât un sceau indiquant cette date. Ce faisant, le recourant conteste les faits retenus par la cour cantonale. Son argumentation s'avère purement appellatoire et, partant, irrecevable, dès lors qu'elle consiste à opposer sa propre version des événements à celle de l'autorité précédente, sans démontrer en quoi celle-ci serait arbitraire. En effet, ce récit ne repose en définitive que sur ses propres déclarations, de sorte que le recourant n'a aucunement fait la preuve de l'observation du délai litigieux. En définitive, la cour cantonale pouvait, sans arbitraire, retenir que la déclaration d'appel écrite avait été déposée à la date figurant sur le sceau postal du pli qui la contenait, soit le 19 janvier 2019. Pour le reste, le recourant n'explique pas en quoi, sur la base de cet élément de fait, l'autorité précédente aurait pu violer les art. 90, 91 al. 1 et 2 ou 399 al. 3 CPP.</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