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6B_556/2022 vom 20. Dezember 2022</w:t>
      </w:r>
    </w:p>
    <w:p>
      <w:r>
        <w:t>Bundesgericht, 2022-12-20, FR</w:t>
      </w:r>
    </w:p>
    <w:p>
      <w:r>
        <w:rPr>
          <w:b/>
        </w:rPr>
        <w:t xml:space="preserve">Quelle: </w:t>
      </w:r>
      <w:r>
        <w:t>https://mcp.opencaselaw.ch/entscheid/bger_6B_556_2022</w:t>
      </w:r>
    </w:p>
    <w:p>
      <w:r>
        <w:t>FR: TF 6B_556/2022 du 20 décembre 2022</w:t>
      </w:r>
    </w:p>
    <w:p>
      <w:r>
        <w:t>IT: TF 6B_556/2022 del 20 dicembre 2022</w:t>
      </w:r>
    </w:p>
    <w:p>
      <w:pPr>
        <w:pStyle w:val="Heading2"/>
      </w:pPr>
      <w:r>
        <w:t>Erwägungen</w:t>
      </w:r>
    </w:p>
    <w:p>
      <w:r>
        <w:rPr>
          <w:b/>
        </w:rPr>
        <w:t>E. 1</w:t>
      </w:r>
    </w:p>
    <w:p>
      <w:r>
        <w:t>Le recourant conteste sa condamnation pour détournement de valeurs patrimoniales mises sous main de justice. Il se plaint d'une violation de l' art. 169 CP , ainsi que d'une violation de la présomption d'innocence et de son corolaire le principe "</w:t>
      </w:r>
    </w:p>
    <w:p>
      <w:r>
        <w:t>in dubio pro reo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p. 91 s.; 143 IV 500 consid. 1.1 p. 503). Les critiques de nature appellatoire sont irrecevables ( ATF 146 IV 88 consid. 1.3.1 p. 91 s.; 145 IV 154 consid. 1.1 p. 155 s.).</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p. 156; 144 IV 345 consid. 2.2.3.1 p. 349; 127 I 38 consid. 2a p. 40 s.).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p. 351),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p. 92; 145 IV 154 consid. 1.1 p. 156 et les références citées).</w:t>
      </w:r>
    </w:p>
    <w:p>
      <w:r>
        <w:rPr>
          <w:b/>
        </w:rPr>
        <w:t>E. 1.2</w:t>
      </w:r>
    </w:p>
    <w:p>
      <w:r>
        <w:t>Selon l' art. 169 CP , celui qui, de manière à causer un dommage à ses créanciers, aura arbitrairement disposé d'une valeur patrimoniale saisie ou séquestrée, inventoriée dans une poursuite pour dettes ou une faillite, portée à un inventaire constatant un droit de rétention ou appartenant à l'actif cédé dans un concordat par abandon d'actif ou l'aura endommagée, détruite, dépréciée ou mise hors d'usage sera puni d'une peine privative de liberté de trois ans au plus ou d'une peine pécuniaire.</w:t>
      </w:r>
    </w:p>
    <w:p>
      <w:r>
        <w:t>Cette disposition ne tend pas seulement à protéger les intérêts des créanciers, mais également à assurer l'autorité de l'État ( ATF 129 IV 68 consid. 2.1 p. 69; 99 IV 146 et les références). Le terme de valeur patrimoniale englobe aussi bien les choses que les créances ou autres droits, à la condition qu'ils aient une valeur économique (cf. ATF 96 IV 111 consid. 1; arrêt 6P.67/2004 du 6 août 2004 consid. 6.1; BERNARD CORBOZ, Les infractions en droit suisse, vol. I, 2010, 3e éd., n° 2 ad art. 169 CP ). Dans tous les cas de mise sous main de justice énumérés dans la disposition, il faut un acte officiel qui établit la mainmise sur la valeur patrimoniale. L' art. 169 CP ne sanctionne pas pénalement la violation de n'importe quelle interdiction de disposer ou restriction au droit de disposer prévue par la LP. La liste des mesures de protection visées par la disposition est exhaustive (NADINE HAGENSTEIN, in Basler Kommentar, Strafrecht II, 4e éd. 2019, n° 12 ad art. 169 CP ; JEANNERET/HARI, in Commentaire romand, Code pénal II, 2017, n° 7 ad art. 169 CP ; CORBOZ, op. cit., n° 3 ad art. 169 CP ; cf. arrêt 6S.121/2001 du 26 avril 2001 consid. 2a). La mise sous main de justice doit être valable conformément aux règles de la LP. Si l'acte officiel est nul, une infraction à l'article 169 CP est exclue (HAGENSTEIN, op. cit. n° 13 ad art. 169 CP ; CORBOZ, op. cit., n° 8 et 19 ad art. 169 CP ; cf. ATF 105 IV 322 consid. 2a p. 323 s.; arrêt 6S.121/2001 précité consid. 2a).</w:t>
      </w:r>
    </w:p>
    <w:p>
      <w:r>
        <w:t>L'infraction est intentionnelle, mais le dol éventuel suffit (arrêt 6P.67/2004 précité consid. 6.1 en référence à l' ATF 121 IV 353 consid. 2c p. 357; cf. ATF 75 IV 62 consid. 4 p. 65; HAGENSTEIN, op. cit., n° 65 ad art. 169 CP ; JEANNERET/HARI, op cit., n° 13 s. ad art. 169 CP ; CORBOZ, op. cit., n° 20 ad art. 169 CP ). L'auteur doit donc savoir que la valeur patrimoniale a été mise sous main de justice ou accepter cette éventualité. En outre, il doit avoir la volonté ou accepter de nuire aux créanciers (arrêt 6P.67/2004 précité consid. 6.1; cf. ATF 121 IV 353 consid. 2c p. 357).</w:t>
      </w:r>
    </w:p>
    <w:p>
      <w:r>
        <w:rPr>
          <w:b/>
        </w:rPr>
        <w:t>E. 1.3</w:t>
      </w:r>
    </w:p>
    <w:p>
      <w:r>
        <w:t>Retenant que l'avis du 28 octobre 2015 de l'office des poursuites était parvenu dans la sphère d'influence du recourant le 4 novembre 2015, la cour cantonale en a déduit qu'à compter de cette date, ce dernier savait qu'il lui était interdit - sous la menace des sanctions pénales prévues aux art. 169 et 289 CP - d'encaisser les loyers des immeubles des parcelles en cause.</w:t>
      </w:r>
    </w:p>
    <w:p>
      <w:r>
        <w:t>Elle a ensuite retenu que le montant des loyers encaissés, soustraits à la gérance légale entre le 4 novembre 2015 et le 31 janvier 2016 s'élevait à 7'225 fr. (soit 3'105 fr. pour novembre 2015, 3'730 fr. pour décembre 2015 et 390 fr. pour janvier 2016).</w:t>
      </w:r>
    </w:p>
    <w:p>
      <w:r>
        <w:t>Les juges cantonaux ont considéré que l'avis de l'office des poursuites du 28 octobre 2015 était dénué de toute ambiguïté s'agissant des loyers visés par l'injonction. L'avis mentionnait clairement que, dans l'hypothèse où des loyers échus devaient être encaissés postérieurement au 31 octobre 2015, ils devaient être immédiatement reversés à l'office en question. Le recourant avait en outre l'obligation de clôturer les comptes au 31 octobre 2015 et de verser le disponible, ce qui impliquait nécessairement qu'il lui était interdit d'encaisser un quelconque loyer à compter du 1er novembre 2015 que la créance fut échue ou non. Il devait mettre un terme avec effet immédiat aux dispositifs mis en place pour encaisser les loyers. Au demeurant, les déclarations du recourant, "Vous me demandez si ma société a continué à prélever des loyers après que la gérance légale a été instaurée, je vous réponds que oui. (...) On ne peut plus arrêter les ordres permanents et les factures", démontraient qu'il savait qu'il lui était interdit de conserver le moindre loyer versé dès le 1er novembre 2015. Le recourant avait d'ailleurs indiqué qu'en disposant de ces loyers, il savait qu'il s'exposerait à une plainte pénale. La cour cantonale en a conclu que c'est la date d'encaissement des créances qui faisait foi et non la date de leur exigibilité.</w:t>
      </w:r>
    </w:p>
    <w:p>
      <w:r>
        <w:t>Sur le plan subjectif, la cour cantonale a retenu que le recourant savait sans le moindre doute possible qu'il lui était interdit de conserver le moindre loyer versé dès le 1er novembre 2015, au vu de ses déclarations. De plus, à aucun moment de la procédure, il n'avait fait état d'une éventuelle mauvaise compréhension quant aux loyers qu'il devait reverser et n'avait jamais pris contact avec l'office des poursuites pour obtenir des précisions. Il était manifeste qu'il savait qu'en détournant des loyers, il léserait ses créanciers. Il s'en était même accommodé comme en témoignaient ses déclarations. Son intention dolosive allait au-delà de la simple soustraction sans dessein de nuire. Du reste, tout démontrait dans l'attitude du recourant cette volonté de nuire.</w:t>
      </w:r>
    </w:p>
    <w:p>
      <w:r>
        <w:rPr>
          <w:b/>
        </w:rPr>
        <w:t>E. 1.4</w:t>
      </w:r>
    </w:p>
    <w:p>
      <w:r>
        <w:t>Le recourant ne conteste pas que l'avis du 28 octobre 2015 de l'office des poursuites était parvenu dans sa sphère d'influence le 4 novembre 2015. Il ne conteste pas non plus avoir perçu, entre cette date et le 31 janvier 2016, 7'225 fr. de loyers des immeubles concernés. Il soutient en revanche que l'avis en question ne concernait que les créances de loyer nées après le 1er novembre 2015 et qu'il était en droit d'encaisser celles exigibles dès avant cette date, à l'exemple des créances de loyer de novembre. Il se fonde sur l'art. 7 des Règles et usages locatifs du canton de Vaud (RULV), qui prévoit que les loyers sont payables par mois d'avance. Il estime que c'est l'exigibilité de la créance qui fait foi pour déterminer si elle est concernée par l'injonction de l'office des poursuites. Or, aucune pièce probante ne permettait d'affirmer que les créances de loyer concernées seraient nées après le 31 octobre 2015.</w:t>
      </w:r>
    </w:p>
    <w:p>
      <w:r>
        <w:rPr>
          <w:b/>
        </w:rPr>
        <w:t>E. 1.5</w:t>
      </w:r>
    </w:p>
    <w:p>
      <w:r>
        <w:t>La cour cantonale ne détermine pas quelle interdiction de disposer au sens de la liste exhaustive de l' art. 169 CP (cf.</w:t>
      </w:r>
    </w:p>
    <w:p>
      <w:r>
        <w:t>supra consid. 1.2), le recourant aurait violé. Dans ses déterminations, l'office des poursuites ne donne pas davantage d'explication sur ce point. La question pourrait se poser de savoir si les créances de loyer des immeubles soumis à la gérance légale instaurée en l'espèce constituent des valeurs patrimoniales "mises sous main de justice" au sens de l' art. 169 CP (cf. sur les différents types de gérances légales, arrêt 5A_1061/2019 du 6 mai 2020 consid. 6.1 et les références citées; cf. sur la distinction de l'infraction avec la soustraction d'objets mis sous main de l'autorité [ art. 289 CP ]: HAGENSTEIN, op. cit., n° 8 ss ad art. 289 CP ). Faute d'éléments permettant de déterminer précisément le stade de la procédure de poursuite en l'espèce, le Tribunal fédéral n'est pas en mesure de vérifier la bonne application du droit sous l'angle de l' art. 169 CP . Pour ce motif déjà le jugement attaqué doit être annulé et la cause renvoyée à la cour cantonale pour nouvelle décision sur ce point.</w:t>
      </w:r>
    </w:p>
    <w:p>
      <w:r>
        <w:t>Dans tous les cas, dans l'hypothèse où l'avis de l'office des poursuites du 28 octobre 2015 constituerait un acte officiel de mainmise appréhendé par l' art. 169 CP , il y a lieu d'examiner quelles créances il visait. Contrairement à ce qu'a retenu la cour cantonale, et à ce que soutient l'office des poursuites dans ses déterminations, l'avis du 28 octobre 2015 place l'adverbe "postérieurement" après le participe passé "échus" et non après le verbe "encaisser". En outre, l'avis en question se réfère explicitement à deux reprises au critère de la naissance des créances (voir les expressions "éléments nés avant le 1er novembre 2015" et "créances de loyer nées après le 31 octobre 2015"). Enfin, il contient la formulation selon laquelle le recourant devait "clôturer les comptes au 31 octobre 2015 et verser le disponible". Sur la base de ces éléments, la cour cantonale ne pouvait, sans arbitraire, considérer que toutes les valeurs patrimoniales encaissées à partir du 31 octobre 2015 étaient visées par l'avis du 28 octobre 2015, indépendamment de leur exigibilité, respectivement de leur échéance (cf. sur ces notions: ATF 143 III 348 consid. 5.3.2 p. 358).</w:t>
      </w:r>
    </w:p>
    <w:p>
      <w:r>
        <w:t>Le recourant soutient, sans être contredit, que l'enquête n'a pas porté sur les dates d'exigibilité ou d'échéance des créances concernées. Or, dans la mesure où seules les créances nées, respectivement échues avant le 1er novembre 2015 étaient déterminantes, la cour cantonale ne pouvait faire l'économie de cet examen et considérer que toutes les valeurs patrimoniales encaissées à partir du 31 octobre 2015 étaient officiellement mises sous main de justice au sens de l' art. 169 CP .</w:t>
      </w:r>
    </w:p>
    <w:p>
      <w:r>
        <w:t>Pour ce motif également, le recours doit être admis et le jugement attaqué annulé. Il sied de renvoyer la cause à la cour cantonale afin qu'elle complète l'instruction dans le sens qui précède et rende une nouvelle décision s'agissant des conditions de réalisation des infractions en cause. Il lui appartiendra ensuite de statuer sur les conséquences, ainsi que sur les frais et dépens au sens des art. 426 ss CPP .</w:t>
      </w:r>
    </w:p>
    <w:p>
      <w:r>
        <w:rPr>
          <w:b/>
        </w:rPr>
        <w:t>E. 2</w:t>
      </w:r>
    </w:p>
    <w:p>
      <w:r>
        <w:t>Au vu de ce qui précède, le recours doit être admis, le jugement attaqué annulé et la cause renvoyée à l'autorité précédente pour nouvelle décision au sens des considérants. Le recourant, qui obtient gain de cause, peut prétendre à des pleins dépens pour la procédure devant le Tribunal fédéral, à la charge du canton de Vaud ( art. 68 al. 1 LTF ). Il n'y a pas lieu de prélever de frais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