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555/2016 vom 25. Juli 2016</w:t>
      </w:r>
    </w:p>
    <w:p>
      <w:r>
        <w:t>Bundesgericht, 2016-07-25, FR</w:t>
      </w:r>
    </w:p>
    <w:p>
      <w:r>
        <w:rPr>
          <w:b/>
        </w:rPr>
        <w:t xml:space="preserve">Quelle: </w:t>
      </w:r>
      <w:r>
        <w:t>https://mcp.opencaselaw.ch/entscheid/bger_6B_555_2016</w:t>
      </w:r>
    </w:p>
    <w:p>
      <w:r>
        <w:t>FR: TF 6B 555/2016 du 25 juillet 2016</w:t>
      </w:r>
    </w:p>
    <w:p>
      <w:r>
        <w:t>IT: TF 6B 555/2016 del 25 luglio 2016</w:t>
      </w:r>
    </w:p>
    <w:p>
      <w:pPr>
        <w:pStyle w:val="Heading2"/>
      </w:pPr>
      <w:r>
        <w:t>Regeste</w:t>
      </w:r>
    </w:p>
    <w:p>
      <w:r>
        <w:t>Violation des règles de la circulation routière, recours au Tribunal fédéral, avance de frais | Infractions</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 X.________ a déposé un recours en matière pénale au Tribunal fédéral contre le jugement cité sous rubrique. Invité une première fois à verser une avance de frais de 4'000 francs conformément à l' art. 62 al. 1 LTF , le prénommé ne s'est pas exécuté. Par ordonnance du 10 juin 2016, le Président de la cour de céans lui a imparti, pour ce faire, un délai supplémentaire jusqu'au 27 juin 2016, avec l'indication qu'à défaut de paiement en temps utile, le recours serait irrecevable. L'intéressé n'ayant pas effectué l'avance de frais requise dans le délai supplémentaire imparti ( art. 48 al. 4 LTF ), son recours est manifestement irrecevable ( art. 62 al. 3 LTF ).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