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6B_553/2020 vom 14. Oktober 2020</w:t>
      </w:r>
    </w:p>
    <w:p>
      <w:r>
        <w:t>Bundesgericht, 2020-10-14, FR</w:t>
      </w:r>
    </w:p>
    <w:p>
      <w:r>
        <w:rPr>
          <w:b/>
        </w:rPr>
        <w:t xml:space="preserve">Quelle: </w:t>
      </w:r>
      <w:r>
        <w:t>https://mcp.opencaselaw.ch/entscheid/bger_6B_553_2020</w:t>
      </w:r>
    </w:p>
    <w:p>
      <w:r>
        <w:t>FR: TF 6B_553/2020 du 14 octobre 2020</w:t>
      </w:r>
    </w:p>
    <w:p>
      <w:r>
        <w:t>IT: TF 6B_553/2020 del 14 ottobre 2020</w:t>
      </w:r>
    </w:p>
    <w:p>
      <w:pPr>
        <w:pStyle w:val="Heading2"/>
      </w:pPr>
      <w:r>
        <w:t>Erwägungen</w:t>
      </w:r>
    </w:p>
    <w:p>
      <w:r>
        <w:rPr>
          <w:b/>
        </w:rPr>
        <w:t>E. 1</w:t>
      </w:r>
    </w:p>
    <w:p>
      <w:r>
        <w:t>Invoquant une violation de son droit d'être entendu, le recourant reproche à la cour cantonale de ne pas avoir donné suite à ses réquisitions de preuve tendant à l'audition de deux témoins.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rPr>
          <w:b/>
        </w:rPr>
        <w:t>E. 1.2</w:t>
      </w:r>
    </w:p>
    <w:p>
      <w:r>
        <w:t>Le recourant reproche à la cour cantonale d'avoir rejeté sa requête tendant à l'audition de F.________, une amie de la plaignante, qui aurait entendu celle-ci " se vanter d'avoir menti aux autorités pour envoyer [le recourant] en prison " (mémoire de recours, p. 3). La cour cantonale a refusé l'audition au motif qu'il s'agissait d'un témoin indirect et qu'une autre amie de la plaignante, G.________, qui avait assisté à la même conversation, avait été entendue en qualité de témoin. En affirmant que les deux témoins n'ont pas assisté à la même conversation, le recourant se contente d'opposer sa propre version des faits à celle de la cour cantonale. Ce faisant, il formule une argumentation appellatoire, partant irrecevable.</w:t>
      </w:r>
    </w:p>
    <w:p>
      <w:r>
        <w:rPr>
          <w:b/>
        </w:rPr>
        <w:t>E. 1.3</w:t>
      </w:r>
    </w:p>
    <w:p>
      <w:r>
        <w:t>Le recourant reproche ensuite à la cour cantonale d'avoir refusé le témoignage de sa thérapeute au motif que celle-ci avait fourni une attestation de suivi et qu'il avait fait l'objet d'une expertise psychiatrique. Il invoque à cet égard le fait que l'expertise ne s'est déroulée que sur trois heures, dont seulement une en présence de l'experte. Il se plaint également du fait que les experts se seraient " servis de tests obsolètes pour [lui] attribuer 'un intérêt pour le morbide' " (mémoire de recours, p. 4).</w:t>
      </w:r>
    </w:p>
    <w:p>
      <w:r>
        <w:t>Le recourant ne démontre pas que l'appréciation anticipée de la preuve à laquelle s'est livrée l'autorité précédente serait arbitraire. Il n'explique en particulier pas en quoi l'audition de sa thérapeute serait susceptible d'apporter de nouveaux éléments déterminants, par rapport à son attestation écrite. A cet égard, les diverses critiques que le recourant formule en lien avec l'expertise - qui ne ressortent pas de l'arrêt attaqué - ne sont pas pertinentes.</w:t>
      </w:r>
    </w:p>
    <w:p>
      <w:r>
        <w:rPr>
          <w:b/>
        </w:rPr>
        <w:t>E. 1.4</w:t>
      </w:r>
    </w:p>
    <w:p>
      <w:r>
        <w:t>Au vu de ce qui précède, la cour cantonale était fondée à écarter les réquisitions de preuve formulées devant elle par le recourant.</w:t>
      </w:r>
    </w:p>
    <w:p>
      <w:r>
        <w:t>Pour le surplus, dans la mesure où le recourant se contente de critiquer de manière générale, la " non-prise en considération des témoins apportés par [lui] ", il ne formule pas de grief recevable. Enfin, en tant qu'il soutient que les déclarations de la plaignante ont varié et se contredisent, son grief se confond avec celui d'arbitraire dans l'appréciation des preuves et l'établissement des faits, qui sera examiné par la suite (cf. consid. 2 et 3 infra).</w:t>
      </w:r>
    </w:p>
    <w:p>
      <w:r>
        <w:rPr>
          <w:b/>
        </w:rPr>
        <w:t>E. 2</w:t>
      </w:r>
    </w:p>
    <w:p>
      <w:r>
        <w:t>Le recourant se plaint d'une constatation et appréciation inexacte des faits et de l'arbitraire s'agissant de sa condamnation pour mise en danger de la vie d'autrui.</w:t>
      </w:r>
    </w:p>
    <w:p>
      <w:r>
        <w:rPr>
          <w:b/>
        </w:rPr>
        <w:t>E. 2.1</w:t>
      </w:r>
    </w:p>
    <w:p>
      <w:r>
        <w:t>Le recourant reproche à la cour cantonale d'avoir fait preuve d'arbitraire en retenant la version des faits de l'intimée 2 et en considérant qu'une " certaine propension à la violence " pouvait lui être attribuée et qu'il " minimisait les faits ". Il souligne également quelques contradictions dans les déclarations de l'intimée 2.</w:t>
      </w:r>
    </w:p>
    <w:p>
      <w:r>
        <w:rPr>
          <w:b/>
        </w:rPr>
        <w:t>E. 2.2</w:t>
      </w:r>
    </w:p>
    <w:p>
      <w:r>
        <w:t>Tout d'abord, c'est en vain que le recourant soutient que certains témoins l'ont décrit comme une personne calme. En effet, le recourant a lui-même admis avoir saisi l'intimée 2 à la mâchoire et avoir brièvement serré. En outre, la cour cantonale a considéré à juste titre qu'il y avait lieu de relativiser les témoignages de la mère du recourant et d'amis proches en raison des liens qui unissaient ces personnes au recourant. Enfin, comme le relève la cour cantonale, il ressort des déclarations d'une femme-témoin qui a assisté à une autre altercation entre le recourant et l'intimée 2, qu'au cours de celle-ci, le recourant s'était montré agressif et avait tenté de lui faire avaler une échographie; il avait ensuite poussé violemment la femme-témoin qui s'était interposée, et frappé à coups de pied le conjoint de cette dernière, qui s'était interposé à son tour, avant que la police intervienne. C'est en vain que le recourant soutient que ce fait s'est passé en 2014 et " fut exceptionnel dans le déroulement " (mémoire de recours, p. 4). La cour cantonale pouvait dès lors sans arbitraire retenir que le recourant était capable de comportements violents.</w:t>
      </w:r>
    </w:p>
    <w:p>
      <w:r>
        <w:rPr>
          <w:b/>
        </w:rPr>
        <w:t>E. 2.3</w:t>
      </w:r>
    </w:p>
    <w:p>
      <w:r>
        <w:t>Il soutient ensuite que s'il avait réellement saisi l'intimée 2 à la gorge comme elle le décrit, des marques seraient apparues, ce qui ne ressort pas des rapports médicaux. Il ressort du jugement attaqué que l'intéressée a spontanément exposé qu'elle n'était pas sûre d'avoir consulté après cet épisode; pour le surplus, la cour cantonale a relevé qu'un étranglement ne laissait pas forcément des traces. Le recourant ne démontre pas en quoi cette appréciation serait arbitraire.</w:t>
      </w:r>
    </w:p>
    <w:p>
      <w:r>
        <w:rPr>
          <w:b/>
        </w:rPr>
        <w:t>E. 2.4</w:t>
      </w:r>
    </w:p>
    <w:p>
      <w:r>
        <w:t>Enfin, le recourant soutient que l'intimée 2 a menti et soulève quelques divergences dans ses déclarations, notamment par rapport aux dates. Le recourant se borne ainsi à opposer, dans une démarche appellatoire et partant irrecevable, sa propre appréciation des preuves à celle de la cour cantonale, qui a considéré, pour sa part, que le récit de l'intimée 2 correspondait à la vérité, même si celle-ci avait donné des dates différentes, qu'elle ne voyait pas pourquoi l'intéressée aurait décrit les effets de la strangulation par des vomissements si ce n'était pas la vérité et que la version de celle-ci devait être retenue dès lors qu'aucun élément tangible ne permettait de remettre en cause sérieusement sa crédibilité (jugement attaqué, p. 25).</w:t>
      </w:r>
    </w:p>
    <w:p>
      <w:r>
        <w:t>Le grief du recourant est rejeté dans la mesure où il est recevable.</w:t>
      </w:r>
    </w:p>
    <w:p>
      <w:r>
        <w:rPr>
          <w:b/>
        </w:rPr>
        <w:t>E. 3</w:t>
      </w:r>
    </w:p>
    <w:p>
      <w:r>
        <w:t>Le recourant reproche à la cour cantonale d'avoir établi les faits de manière arbitraire en lien avec les infractions de viol, tentative de viol et contrainte sexuelle.</w:t>
      </w:r>
    </w:p>
    <w:p>
      <w:r>
        <w:rPr>
          <w:b/>
        </w:rPr>
        <w:t>E. 3.1</w:t>
      </w:r>
    </w:p>
    <w:p>
      <w:r>
        <w:t>Le recourant fait grief à la cour cantonale de ne pas avoir pris en compte un échange de messages entre l'intimée 2 et lui-même. Il ne démontre cependant pas en quoi ce message aurait été pertinent pour l'issue du litige ( art. 97 al. 1 LTF ).</w:t>
      </w:r>
    </w:p>
    <w:p>
      <w:r>
        <w:rPr>
          <w:b/>
        </w:rPr>
        <w:t>E. 3.2</w:t>
      </w:r>
    </w:p>
    <w:p>
      <w:r>
        <w:t>Le recourant critique ensuite le " ton " qu'aurait adopté le procureur en charge du dossier lors de son audition du 8 juin 2018, qui, selon lui, montrait qu'il était " déjà coupable à ses yeux " (mémoire de recours, p. 6). Il ne ressort pas du jugement entrepris que le recourant aurait invoqué ce grief dans son appel cantonal et le recourant ne le prétend d'ailleurs pas. Ainsi, ce grief, invoqué pour la première fois devant le Tribunal fédéral, est irrecevable (cf. ATF 140 I 271 consid. 8.4.3 p. 275; 138 I 1 consid. 2.2. p. 4; art. 80 al. 1 LTF ).</w:t>
      </w:r>
    </w:p>
    <w:p>
      <w:r>
        <w:rPr>
          <w:b/>
        </w:rPr>
        <w:t>E. 3.3</w:t>
      </w:r>
    </w:p>
    <w:p>
      <w:r>
        <w:t>Le recourant reproche en substance à la cour cantonale d'avoir arbitrairement retenu la version des faits de l'intimée 2. Il souligne quelques contradictions dans les déclarations de celle-ci, ainsi qu'un comportement ambivalent de sa part. Il affirme enfin qu'elle n'est pas " traumatisée " par les événements, dès lors qu'elle a refait sa vie et commencé une nouvelle relation avec un autre homme à peine plus d'un mois après un des épisodes d'" abus " et qu'elle était enceinte de plus de six mois au moment de l'audience du 16 juillet 2019.</w:t>
      </w:r>
    </w:p>
    <w:p>
      <w:r>
        <w:t>Le raisonnement du recourant ne peut être suivi. D'une part, la cour cantonale ne s'est pas fondée seulement sur les déclarations de l'intimée 2 mais également sur les aveux partiels du recourant, sur des messages téléphoniques échangés entre les parties durant les faits, ainsi que sur le compte rendu du Dr H.________, en présence duquel le recourant a évoqué les abus et a exprimé ses regrets. D'autre part, s'agissant des petites contradictions dans les déclarations de l'intimée 2, la cour cantonale a estimé à juste titre que la confusion de celle-ci par rapport à la chronologie des événements n'ôtait pas toute crédibilité à ses déclarations. Quant aux autres divergences mentionnées par le recourant, elles portaient sur des points de détail ou n'avaient rien à voir avec les infractions reprochées. Enfin, pour ce qui est du comportement ambivalent de l'intimée 2, notamment le fait qu'elle aurait demandé au recourant de lui dessiner un tatouage " un mois après le soi-disant abus " (mémoire de recours, p. 6), la cour cantonale a relevé que la relation entre les parties était " chaotique ", c'est-à-dire faite de ruptures et de reprises, et a estimé que ceci n'excluait nullement que l'intimée 2 ait été contrainte sexuellement à deux reprises. L'intéressée avait d'ailleurs expliqué " de manière crédible et convaincante qu'après les épisodes de violence, le recourant redevenait gentil et avenant avec elle " (jugement attaqué, p. 29). Le recourant ne démontre pas en quoi cette appréciation serait arbitraire et il n'apparaît pas que tel soit le cas. Pour le surplus, contrairement à ce que laisse entendre le recourant, et conformément à ce qu'a retenu la cour cantonale, le fait que l'intimée a commencé une nouvelle relation avec un autre homme et qu'elle serait enceinte de lui ne change rien au fait qu'elle a été profondément et durablement affectée dans sa santé, notamment psychique, à la suite des actes commis, dont un viol consommé, par le recourant.</w:t>
      </w:r>
    </w:p>
    <w:p>
      <w:r>
        <w:rPr>
          <w:b/>
        </w:rPr>
        <w:t>E. 3.4</w:t>
      </w:r>
    </w:p>
    <w:p>
      <w:r>
        <w:t>Il s'ensuit que les autorités cantonales n'ont pas fait preuve d'arbitraire en retenant la version des faits de l'intimée. Le grief du recourant doit être rejeté dans la mesure où il est recevable.</w:t>
      </w:r>
    </w:p>
    <w:p>
      <w:r>
        <w:rPr>
          <w:b/>
        </w:rPr>
        <w:t>E. 4</w:t>
      </w:r>
    </w:p>
    <w:p>
      <w:r>
        <w:t>Invoquant une constatation et appréciation inexactes des faits, le recourant conteste enfin les faits qui lui sont reprochés sous B.f.</w:t>
      </w:r>
    </w:p>
    <w:p>
      <w:r>
        <w:t>Il fait valoir que les versions de l'intimée 2 et de l'intimé 3 ont " chang[é] constamment lors de chaque audition " (mémoire de recours, p. 7). Ce faisant, il oppose à nouveau sa propre appréciation des preuves à celle de la cour cantonale qui a considéré que " les versions des plaignants [n'étaient] nullement contradictoires mais tout au plus légèrement nuancées " (jugement attaqué, p. 32). En outre, le recourant ne conteste pas la violation de domicile et admet dans son recours qu'il a sorti un couteau lorsque l'intimé 3 s'est approché. C'est donc en vain qu'il soutient qu'il avait " peur que l'intimé 3 soit quelqu'un de violent " et qu'il a eu une " réaction maladroite ", étant donné que, comme le relève la cour cantonale, on voit mal comment le recourant aurait pu se sentir menacé alors que c'est lui qui a fait irruption dans un appartement et a exhibé un couteau. Son grief est dès lors rejeté dans la mesure où il est recevable.</w:t>
      </w:r>
    </w:p>
    <w:p>
      <w:r>
        <w:rPr>
          <w:b/>
        </w:rPr>
        <w:t>E. 5</w:t>
      </w:r>
    </w:p>
    <w:p>
      <w:r>
        <w:t>Pour le surplus, le recourant ne remet pas en cause la qualification juridique des faits, ni la quotité de la peine qui lui a été infligée. Compte tenu du sort de ses griefs, il n'y a pas lieu d'examiner plus avant ces questions.</w:t>
      </w:r>
    </w:p>
    <w:p>
      <w:r>
        <w:rPr>
          <w:b/>
        </w:rPr>
        <w:t>E. 6</w:t>
      </w:r>
    </w:p>
    <w:p>
      <w:r>
        <w:t>Le recourant se plaint de deux mesures de substitution ordonnées, soit l'obligation de se soumettre à un suivi psychothérapeutique hebdomadaire chez sa psychiatre - qu'il considère comme " exagéré " - ainsi que l'obligation de se soumettre à des contrôles d'abstinence à l'alcool et aux stupéfiants. Il ne ressort pas du jugement attaqué que le recourant aurait invoqué de tels griefs dans son appel cantonal et celui-ci ne le prétend d'ailleurs pas, de sorte que ceux-ci sont irrecevables. Au demeurant, le recourant n'explique pas en quoi ces mesures violeraient le principe de la proportionnalité. S'agissant du suivi hebdomadaire avec sa psychiatre, il se contente de relever que l'expert a retenu, dans le rapport d'expertise, que " compte tenu de l'investissement du recourant dans son traitement, l'imposer n'offrirait pas de plus-value notable, voire pourrait être susceptible d'en diminuer l'efficacité " (pièce 57 du dossier pénal, p. 15 et 16). A cet égard, la cour cantonale a considéré que, même si les experts avaient estimé qu'il n'y avait pas d'intérêt à imposer un suivi, cette mesure devait être confirmée au vu de la gravité des infractions dont le risque important de récidive était redouté. En effet, une telle mesure était susceptible de favoriser une prise de conscience chez le recourant qui faisait défaut et s'avérait indispensable à l'octroi du sursis partiel, la seule volonté exprimée par le recourant de poursuivre ses consultations actuelles étant insuffisante. Le recourant ne critique pas le raisonnement de la cour cantonale et n'expose pas en quoi elle aurait violé le droit ( art. 42 al. 2 LTF ).</w:t>
      </w:r>
    </w:p>
    <w:p>
      <w:r>
        <w:rPr>
          <w:b/>
        </w:rPr>
        <w:t>E. 7</w:t>
      </w:r>
    </w:p>
    <w:p>
      <w:r>
        <w:t>En définitive,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