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6B_553/2019 vom 6. November 2019</w:t>
      </w:r>
    </w:p>
    <w:p>
      <w:r>
        <w:t>Bundesgericht, 2019-11-06, DE</w:t>
      </w:r>
    </w:p>
    <w:p>
      <w:r>
        <w:rPr>
          <w:b/>
        </w:rPr>
        <w:t xml:space="preserve">Quelle: </w:t>
      </w:r>
      <w:r>
        <w:t>https://mcp.opencaselaw.ch/entscheid/bger_6B_553_2019</w:t>
      </w:r>
    </w:p>
    <w:p>
      <w:r>
        <w:t>FR: TF 6B_553/2019 du 6 novembre 2019</w:t>
      </w:r>
    </w:p>
    <w:p>
      <w:r>
        <w:t>IT: TF 6B_553/2019 del 6 novembre 2019</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Richtet sich die Beschwerde gegen die Einstellung oder Nichtanhandnahme eines Verfahrens, hat die Privatklägerschaft nicht notwendigerweise bereits vor den kantonalen Behörden eine Zivilforderung geltend gemacht. Im Verfahren vor Bundesgericht muss sie in diesem Fall darlegen, aus welchen Gründen und inwiefern sich der angefochtene Entscheid auf welche Zivilforderungen auswirken kann. Das Bundesgericht stellt an die Begründung der Legitimation strenge Anforderungen. Genügt die Beschwerde diesen Begründungsanforderungen nicht, kann auf sie nur eingetreten werden, wenn aufgrund der Natur der untersuchten Straftat ohne Weiteres ersichtlich ist, welche Zivilforderungen in Frage stehen ( BGE 141 IV 1 E. 1.1 mit Hinweisen).</w:t>
      </w:r>
    </w:p>
    <w:p>
      <w:r>
        <w:t>Gemäss Art. 42 Abs. 1 und 2 BGG hat der Beschwerdeführer darzulegen, dass die gesetzlichen Legitimationsvoraussetzungen erfüllt sind. Die Begründung muss in der Beschwerde selbst enthalten sein; der blosse Verweis auf Ausführungen in anderen Rechtsschriften oder auf die Akten reicht nicht ( BGE 140 III 115 E. 2 mit Hinweisen). Das Bundesgericht prüft die Eintretensvoraussetzungen im Verfahren der Beschwerde in Strafsachen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(Urteile 6B_384/2019 vom 21. August 2019 E. 1.1; 6B_479/2019 vom 11. Juli 2019 E. 3.).</w:t>
      </w:r>
    </w:p>
    <w:p>
      <w:r>
        <w:rPr>
          <w:b/>
        </w:rPr>
        <w:t>E. 1.2</w:t>
      </w:r>
    </w:p>
    <w:p>
      <w:r>
        <w:t>Der Beschwerdeführer ist im Verfahren als Geschädigter ohne Entscheid über die Konstituierung als Privatkläger geführt. Eine Schadenersatzforderung hat er nicht geltend gemacht. Er bringt indes vor, durch die Unterlassungen des Beschwerdegegners sei er infolge der Veranlagungen nach Ermessen viel zu hoch eingeschätzt worden, so dass ihm ein Schaden von mindestens Fr. 64'000.-- entstanden sei. Damit ist hinreichend ersichtlich, inwieweit sich der angefochtene Beschluss auf die Beurteilung der Zivilansprüche des Beschwerdeführers auswirken kann. Auf die Beschwerde kann daher eingetreten werden.</w:t>
      </w:r>
    </w:p>
    <w:p>
      <w:r>
        <w:rPr>
          <w:b/>
        </w:rPr>
        <w:t>E. 2.1</w:t>
      </w:r>
    </w:p>
    <w:p>
      <w:r>
        <w:t>Der Beschwerdeführer wendet sich gegen den angefochtenen Beschluss, soweit die Vorinstanz die Nichtanhandnahmeverfügung in Bezug auf den Tatbestand der ungetreuen Geschäftsbesorgung schützt. Hinsichtlich der Nichtanhandnahme des Verfahrens wegen arglistiger Vermögensschädigung ficht der Beschwerdeführer den Beschluss der Vorinstanz nicht an.</w:t>
      </w:r>
    </w:p>
    <w:p>
      <w:r>
        <w:t>Der Beschwerdeführer macht geltend, der Beschwerdegegner sei mit dem Schutz seiner Vermögensinteressen betraut gewesen. Dabei sei dieser nicht nur in untergeordneter Stellung oder als Berater tätig gewesen, sondern habe als selbstständiger Treuhänder mit Geschäftsführungsbefugnis gehandelt. Als solcher sei er durch die Vertretungsvollmacht vom 11. Juni 2007 zu seiner Vertretung in sämtlichen ordentlichen Veranlagungsverfahren vor den Steuerbehörden des Kantons St. Gallen ermächtigt gewesen. Die Vollmacht sei namentlich auch für die Veranlagungsverfahren der Jahre 2011 und 2012 und bis zur Eröffnung der Ermessensveranlagung gültig gewesen. Der Beschwerdegegner habe damit als rechtmässiger Vertreter gehandelt. Als freiberuflicher Steuerberater habe er zudem seine Tätigkeit in weitestgehender Organisationsfreiheit ausgeübt. Er (sc. der Beschwerdeführer) sei als neu zugezogener Ausländer mit eigener Zahnarztpraxis mit dem schweizerischen Rechnungslegungs- und Steuerrecht nicht vertraut gewesen und habe diese Belange vollständig auf den Beschwerdegegner übertragen. Er sei weder faktisch noch fachlich in der Lage gewesen, dessen Tätigkeit zu kontrollieren. Dieses Fehlen von Kontrolle und Überwachung rechtfertige den strafrechtlichen Schutz. Angesichts des Schadens von mindestens Fr. 64'000.-- stehe auch ausser Zweifel, dass die vom Beschwerdegegner betreuten Vermögensinteressen von erheblichem Gewicht gewesen seien. Schliesslich sei die Steuerverwaltung aufgrund der Steuervertretung zur Zustellung an den bevollmächtigten Vertreter verpflichtet gewesen. Damit habe dieser in Bezug auf sämtliche steuerlichen Belange jahrelang sowohl faktisch wie rechtlich alleinige Geschäftsführerstellung gehabt. Der Beschwerdegegner habe somit durch die angezeigten Handlungen den Tatbestand der ungetreuen Geschäftsbesorgung erfüllt (Beschwerde S. 4 ff.).</w:t>
      </w:r>
    </w:p>
    <w:p>
      <w:r>
        <w:rPr>
          <w:b/>
        </w:rPr>
        <w:t>E. 2.2</w:t>
      </w:r>
    </w:p>
    <w:p>
      <w:r>
        <w:t>Die Vorinstanz führt aus, in der Strafanzeige werde ausgeführt, der Beschwerdegegner sei als Treuhänder und Steuerberater beauftragt gewesen, die finanziellen Interessen des Beschwerdeführers zu wahren und diesen gegenüber den Steuerbehörden in allen Steuerfragen zu beraten und zu vertreten. Die Vorinstanz nimmt an, weder aus der Darstellung des Beschwerdeführers noch aus den Akten sei ersichtlich, dass der Beschwerdegegner im Sinne von Art. 158 Ziff. 1 Abs. 1 StGB mit der Verwaltung des Vermögens des Beschwerdeführers betraut und befugt gewesen wäre, über dieses oder Teile davon zu verfügen. Die vom Beschwerdeführer behauptete Pflicht zur Beratung und Vertretung gegenüber den Steuerbehörden beinhalte keine Befugnis zur Verfügung über das Vermögen des Beschwerdeführers und damit keine Vermögensverwaltung. Auch wenn die Interessenvertretung eines Klienten in einem steuerrechtlichen Verfahren auch als Geschäftsführung bezeichnet werden könne, handle es sich dabei nicht um eine Geschäftsbesorgung im Sinne von Art. 158 Ziff. 1 Abs. 1 StGB . Selbst wenn das Verhalten des Vertreters in einem solchen Verfahren vermögensrelevant sein könne, wenn der Vertretene durch die Behörde bzw. das Gericht zu einer Leistung verpflichtet werde, handle es sich hierbei nicht um eine Verfügung über das Vermögen des Vertretenen. Der vom Beschwerdeführer erhobene Vorwurf der ungetreuen Geschäftsbesorgung gehe daher schon mangels der Voraussetzung der Vermögensverwaltung fehl. Die Staatsanwaltschaft habe daher die Strafuntersuchung zu Recht nicht an die Hand genommen (angefochtener Beschluss S. 9 ff.).</w:t>
      </w:r>
    </w:p>
    <w:p>
      <w:r>
        <w:rPr>
          <w:b/>
        </w:rPr>
        <w:t>E. 3.1</w:t>
      </w:r>
    </w:p>
    <w:p>
      <w:r>
        <w:t>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Nichtanhandnahmeverfügung oder einen Strafbefehl erlässt. Gemäss Art. 310 Abs. 1 StPO verfügt sie die Nichtanhandnahme der Untersuchung, sobald aufgrund der Strafanzeige oder des Polizeirapports feststeht, dass die fraglichen Straftatbestände oder die Prozessvoraussetzungen eindeutig nicht erfüllt sind (lit. a) oder wenn Verfahrenshindernisse bestehen (lit. b).</w:t>
      </w:r>
    </w:p>
    <w:p>
      <w:r>
        <w:t>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 Art. 309 Abs. 1 lit. a StPO ).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 BGE 141 IV 87 E. 1.3.1; Urteile 6B_833/2019 vom 10. September 2019 E. 2.4.2; 6B_798/2019 vom 27. August 2019 E. 3.2; mit Hinweisen). Im Zweifelsfall, wenn die Nichtanhandnahmegründe nicht mit absoluter Sicherheit gegeben sind, muss das Verfahren eröffnet werden (vgl. BGE 143 IV 241 E. 2.2; 138 IV 86 E. 4.1; 137 IV 219 E. 7 und 285 E. 2.3). Der Grundsatz "in dubio pro duriore" gelangt erst dann zur Anwendung, wenn gestützt auf die Aktenlage zweifelhaft ist, ob ein hinreichender Tatverdacht erhärtet ist, der eine Anklage rechtfertigt bzw. eine Verurteilung wahrscheinlich macht (Urteil 6B_698/2016 vom 10. April 2017 E. 2.4.2). Die Strafverfolgungsbehörde und die Beschwerdeinstanz verfügen in diesem Rahmen über einen gewissen Ermessensspielraum, in welchen das Bundesgericht nur mit Zurückhaltung eingreift. Das Bundesgericht führt zur Frage des Tatverdachts weder ein eigentliches Beweisverfahren durch noch greift es dem erkennenden Strafrichter vor ( BGE 137 IV 122 E. 3.2).</w:t>
      </w:r>
    </w:p>
    <w:p>
      <w:r>
        <w:rPr>
          <w:b/>
        </w:rPr>
        <w:t>E. 3.2</w:t>
      </w:r>
    </w:p>
    <w:p>
      <w:r>
        <w:t>Das Bundesgericht prüft im Rahmen einer Beschwerde gegen die Nichtanhandnahme nach Art. 310 Abs. 1 StPO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S. 244 f.; Urteile 6B_537/2019 1. Juli 2019 E. 3; 6B_5/2019 vom 4. April 2019 E. 2.1.2). Die Willkürrüge muss in der Beschwerde explizit vorgebracht und substanziiert begründet werden ( Art. 106 Abs. 2 BGG ; BGE 143 IV 500 E. 1.1 S. 503). Auf ungenügend begründete Rügen oder bloss allgemein gehaltene appellatorische Kritik am angefochtenen Entscheid tritt das Bundesgericht nicht ein (vgl. Art. 42 Abs. 2 und Art. 106 Abs. 2 BGG ; BGE 144 IV 50 E. 4.2 S. 53 mit Hinweisen).</w:t>
      </w:r>
    </w:p>
    <w:p>
      <w:r>
        <w:rPr>
          <w:b/>
        </w:rPr>
        <w:t>E. 4.1</w:t>
      </w:r>
    </w:p>
    <w:p>
      <w:r>
        <w:t>Gemäss Art. 158 Ziff. 1 Abs. 1 StGB macht sich der ungetreuen Geschäftsbesorgung schuldig,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(Treubruchtatbestand).</w:t>
      </w:r>
    </w:p>
    <w:p>
      <w:r>
        <w:t>Nach der Rechtsprechung ist Geschäftsführer, wer in tatsächlich oder formell selbstständiger und verantwortlicher Stellung im Interesse eines anderen für einen nicht unerheblichen Vermögenskomplex zu sorgen hat. Das trifft namentlich zu auf selbstständige Geschäftsführer sowie auf operationell leitende Organe von juristischen Personen bzw. Kapitalgesellschaften. Geschäftsführer ist aber auch, wem die Stellung nur faktisch zukommt und ihm nicht formell eingeräumt worden ist. Die im Gesetz nicht näher umschriebene Tathandlung der ungetreuen Geschäftsbesorgung liegt in der Verletzung jener spezifischen Pflichten, die den Täter in seiner Stellung als Geschäftsführer generell, aber auch bezüglich spezieller Geschäfte zum Schutz des Auftraggebers bzw. des Geschäftsherrn treffen. Subjektiv ist Vorsatz erforderlich. Eventualvorsatz genügt, an dessen Nachweis sind angesichts der relativen Unbestimmtheit des objektiven Tatbestandes allerdings hohe Anforderungen zu stellen ( BGE 142 IV 346 E. 3.2, mit Hinweisen).</w:t>
      </w:r>
    </w:p>
    <w:p>
      <w:r>
        <w:rPr>
          <w:b/>
        </w:rPr>
        <w:t>E. 4.2</w:t>
      </w:r>
    </w:p>
    <w:p>
      <w:r>
        <w:t>Der angefochtene Beschluss verletzt kein Bundesrecht. Die Vorinstanz gelangt mit zureichenden Gründen zum Schluss, dass der Straftatbestand der ungetreuen Geschäftsbesorgung gemäss Art. 158 Ziff. 1 Abs. 1 StGB eindeutig nicht erfüllt ist. Wie sie zu Recht erkannt hat, kommt dem Beschwerdegegner im Rahmen des Vertragsverhältnisses mit dem Beschwerdeführer nicht die Stellung eines Geschäftsführers zu, so dass ihn auch nicht eine das Unrecht des Treubruchtatbestandes spezifische Treuepflicht getroffen hat. Nach der Rechtsprechung stellt nicht jede Pflicht zur Wahrung fremder Vermögensinteressen eine besondere Vermögensfürsorgepflicht im Sinne des Treubruchtatbestandes dar ( BGE 120 IV 190 E. 2b, S. 193; SCHEIDEGGER/VON WURSTEMBERGER, in: Commentaire Romand, Code pénal II, 2017, N 16 zu Art. 158). Der Beschwerdegegner war als mit der Erstellung der Steuererklärungen betrauter Vertreter des Beschwerdeführers im Steuerveranlagungsverfahren nicht im Sinne von Art. 158 Ziff. 1 Abs. 1 StGB mit der Verwaltung fremden Vermögens betraut und als solcher befugt, eigenständig über fremdes Vermögen oder Teile davon zu verfügen. Die Vermögensverwaltung erscheint denn auch nicht als typischer und wesentlicher Inhalt des den Beschwerdeführer mit dem Beschwerdegegner verbindenden Rechtsverhältnisses (ANDREAS DONATSCH, Strafrecht III, 11. Aufl. 2018, S. 319). Insofern lässt sich dieser nicht als Garant hinsichtlich des Vermögens des Beschwerdeführers verstehen und unterscheidet er sich von einem Treuhänder mit Geschäftsführungsbefugnis (vgl. STRATENWERTH et al., Schweizerisches Strafrecht, Bes. Teil I, 7. Aufl. 2010, § 19 N 5 ; DONATSCH, a.a.O.).</w:t>
      </w:r>
    </w:p>
    <w:p>
      <w:r>
        <w:t>Es mag zutreffen, dass, wer - wie der Beschwerdeführer - einem Treuhänder und auf Ärzte spezialisierten Finanz- und Steuerexperten den Auftrag für die Steuerdeklaration erteilt, erwarten darf, dass diese fachgerecht erfolgt und dass er nicht mehr Steuern als objektiv geschuldet zu zahlen hat (Beschwerde S. 6). Doch verletzt der Beauftragte, wenn er die Steuererklärung nicht sachkundig erstellt, allein zivilrechtliche Pflichten. Wie das Bundesgericht wiederholt festgehalten hat, steht das Strafverfahren nicht als blosses Vehikel zur Durchsetzung allfälliger zivilrechtlicher Ansprüche zur Verfügung. Es ist namentlich nicht die Aufgabe der Strafbehörden, dem Beschwerdeführer im Hinblick auf einen möglichen Zivilprozess gegen den Beschwerdegegner die Mühen und das Kostenrisiko der Sammlung von Beweisen zu ersparen (vgl. BGE 137 IV 246 E. 1.3.1; Urteile 6B_110/2019 vom 3. Mai 2019 E. 5; 6B_260/2019 vom 2. Mai 2019 E. 1.2; je mit Hinweisen).</w:t>
      </w:r>
    </w:p>
    <w:p>
      <w:r>
        <w:t>Insgesamt hat die Vorinstanz die Nichtanhandnahmeverfügung der Staatsanwaltschaft somit zu Recht geschützt. Die Beschwerde erweist sich als unbegründet.</w:t>
      </w:r>
    </w:p>
    <w:p>
      <w:r>
        <w:rPr>
          <w:b/>
        </w:rPr>
        <w:t>E. 5</w:t>
      </w:r>
    </w:p>
    <w:p>
      <w:r>
        <w:t>Aus diesen Gründen ist die Beschwerde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