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6B_553/2011 vom 22. September 2011</w:t>
      </w:r>
    </w:p>
    <w:p>
      <w:r>
        <w:t>Bundesgericht, 2011-09-22, DE</w:t>
      </w:r>
    </w:p>
    <w:p>
      <w:r>
        <w:rPr>
          <w:b/>
        </w:rPr>
        <w:t xml:space="preserve">Quelle: </w:t>
      </w:r>
      <w:r>
        <w:t>https://mcp.opencaselaw.ch/entscheid/bger_6B_553_2011</w:t>
      </w:r>
    </w:p>
    <w:p>
      <w:r>
        <w:t>FR: TF 6B_553/2011 du 22 septembre 2011</w:t>
      </w:r>
    </w:p>
    <w:p>
      <w:r>
        <w:t>IT: TF 6B_553/2011 del 22 settembre 2011</w:t>
      </w:r>
    </w:p>
    <w:p>
      <w:pPr>
        <w:pStyle w:val="Heading2"/>
      </w:pPr>
      <w:r>
        <w:t>Erwägungen</w:t>
      </w:r>
    </w:p>
    <w:p>
      <w:r>
        <w:rPr>
          <w:b/>
        </w:rPr>
        <w:t>E. 1</w:t>
      </w:r>
    </w:p>
    <w:p>
      <w:r>
        <w:t>Generalstaatsanwaltschaft des Kantons Bern, Maulbeerstrasse 10, 3011 Bern,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Gerichtsgebühr Rechnung zu tragen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