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6B_552/2020 vom 4. August 2020</w:t>
      </w:r>
    </w:p>
    <w:p>
      <w:r>
        <w:t>Bundesgericht, 2020-08-04, FR</w:t>
      </w:r>
    </w:p>
    <w:p>
      <w:r>
        <w:rPr>
          <w:b/>
        </w:rPr>
        <w:t xml:space="preserve">Quelle: </w:t>
      </w:r>
      <w:r>
        <w:t>https://mcp.opencaselaw.ch/entscheid/bger_6B_552_2020</w:t>
      </w:r>
    </w:p>
    <w:p>
      <w:r>
        <w:t>FR: TF 6B_552/2020 du 4 août 2020</w:t>
      </w:r>
    </w:p>
    <w:p>
      <w:r>
        <w:t>IT: TF 6B_552/2020 del 4 agosto 2020</w:t>
      </w:r>
    </w:p>
    <w:p>
      <w:pPr>
        <w:pStyle w:val="Heading2"/>
      </w:pPr>
      <w:r>
        <w:t>Erwägungen</w:t>
      </w:r>
    </w:p>
    <w:p>
      <w:r>
        <w:rPr>
          <w:b/>
        </w:rPr>
        <w:t>E. 1</w:t>
      </w:r>
    </w:p>
    <w:p>
      <w:r>
        <w:t>Par décision du 5 mai 2020, la 2e Chambre pénale de la Cour suprême du canton de Berne n'est pas entrée en matière sur l'appel annoncé le 1er février 2020 par A.________ à l'encontre du jugement du 30 janvier 2020 du Tribunal régional du Jura bernois-Seeland.</w:t>
      </w:r>
    </w:p>
    <w:p>
      <w:r>
        <w:t>Il ressort en substance de la décision du 5 mai 2020 que A.________ a annoncé faire appel du jugement de première instance en temps utile et que les motifs de ce dernier lui ont été valablement notifiés le 6 avril 2020. Par ordonnance du 3 avril 2020, le prénommé avait été rendu attentif au fait que, s'il souhaitait confirmer son appel, il était tenu d'adresser une déclaration d'appel écrite aux Chambres pénales de la Cour suprême du canton de Berne dans les 20 jours à compter de la notification du jugement motivé. A.________ ne l'a toutefois pas fait, raison pour laquelle la cour cantonale a rendu la décision précitée.</w:t>
      </w:r>
    </w:p>
    <w:p>
      <w:r>
        <w:t>Contre cette dernière, A.________ forme un recours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se limite à prier le Tribunal fédéral de bien vouloir prendre note de son opposition à la décision attaquée et du fait qu'il aurait fait opposition à la "Motivation du 3 avril 2020" s'il avait compris qu'il devait le faire pour défendre ses intérêts, tout en revenant également sur les circonstances du constat d'ébriété à la base du jugement de première instance. Ce faisant, le recourant ne développe aucune argumentation topique destinée à démontrer en quoi la cour cantonale aurait violé le droit fédéral en refusant d'entrer en matière sur son appel, compte tenu de l'absence de déclaration d'appel motivée déposée en temps utile.</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Sur le vu de ce qui précède, le recours doit être déclaré irrecevable selon la procédure simplifiée prévue par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