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6B_551/2014 vom 15. Juli 2014</w:t>
      </w:r>
    </w:p>
    <w:p>
      <w:r>
        <w:t>Bundesgericht, 2014-07-15, DE</w:t>
      </w:r>
    </w:p>
    <w:p>
      <w:r>
        <w:rPr>
          <w:b/>
        </w:rPr>
        <w:t xml:space="preserve">Quelle: </w:t>
      </w:r>
      <w:r>
        <w:t>https://mcp.opencaselaw.ch/entscheid/bger_6B_551_2014</w:t>
      </w:r>
    </w:p>
    <w:p>
      <w:r>
        <w:t>FR: TF 6B_551/2014 du 15 juillet 2014</w:t>
      </w:r>
    </w:p>
    <w:p>
      <w:r>
        <w:t>IT: TF 6B_551/2014 del 15 luglio 2014</w:t>
      </w:r>
    </w:p>
    <w:p>
      <w:pPr>
        <w:pStyle w:val="Heading2"/>
      </w:pPr>
      <w:r>
        <w:t>Erwägungen</w:t>
      </w:r>
    </w:p>
    <w:p>
      <w:r>
        <w:rPr>
          <w:b/>
        </w:rPr>
        <w:t>E. 1</w:t>
      </w:r>
    </w:p>
    <w:p>
      <w:r>
        <w:t>Unbeachtlich ist das nach Ablauf der Beschwerdefrist ( Art. 100 Abs. 1 BGG ) eingereichte Schreiben, in welchem der Beschwerdeführer unter anderem ausführt, wegen des unbrauchbaren Gutachtens erfolge der Vollzug der Massnahme aktuell und künftig basierend auf einer Flut von Disziplinarverfügungen in der Arrestzelle.</w:t>
      </w:r>
    </w:p>
    <w:p>
      <w:r>
        <w:rPr>
          <w:b/>
        </w:rPr>
        <w:t>E. 2</w:t>
      </w:r>
    </w:p>
    <w:p>
      <w:r>
        <w:t>Die Rüge, das Gutachten sei in sich widersprüchlich, ist unbegründet. Mit der Bemerkung, die Psychiatrie biete "für solche Menschen leider auch nicht befriedigende Lösungen" (Beschwerde S. 7), stellte der Gutachter seine Diagnose und Behandlungsempfehlung nicht in Frage (vgl. unten E. 3.2). Dass er die Drohungen als "einschüchternde Drohgebärde" wertete, entspricht dem Schuldspruch ( Art. 180 StGB ) und lässt sich entgegen der Beschwerde (S. 8) nicht als Verneinung einer "Gefahr" auslegen. Die Umsetzung einer Tötungsdrohung ist eine legalprognostische Frage, die naturgemäss nicht mit Sicherheit beantwortet werden kann. Der Gutachter stufte den Beschwerdeführer als hochgradig gefährlich ein (Urteil S. 9). Er verfiel auch nicht in Widersprüchlichkeit, weil er die Verhältnismässigkeitsprüfung der richterlichen Entscheidung überliess. Das ist die gesetzliche Aufgabe des Gerichts.</w:t>
      </w:r>
    </w:p>
    <w:p>
      <w:r>
        <w:rPr>
          <w:b/>
        </w:rPr>
        <w:t>E. 3.1</w:t>
      </w:r>
    </w:p>
    <w:p>
      <w:r>
        <w:t>Der Beschwerdeführer macht geltend, eine stationäre Massnahme sei unverhältnismässig. Eine ambulante Massnahme sei ausreichend, geeignet und verhältnismässig.</w:t>
      </w:r>
    </w:p>
    <w:p>
      <w:r>
        <w:rPr>
          <w:b/>
        </w:rPr>
        <w:t>E. 3.2</w:t>
      </w:r>
    </w:p>
    <w:p>
      <w:r>
        <w:t>Die Vorinstanz führt aus, im forensisch-psychiatrischen Gutachten vom 7. April 2013 werde beim Beschwerdeführer eine kombinierte Persönlichkeitsstörung mit paranoiden, narzisstischen und zwanghaften Anteilen (ICD F61.0) sowie eine anhaltende wahnhafte Störung (ICD F22.0) diagnostiziert. Beide als mittelschwer eingestuften Störungen würden sich in der Kombination potenzieren. Der Gutachter erachte gestützt auf die Psychopathy Checklist Revised und den HCR-20 die Wahrscheinlichkeit von Gewalttaten gegen Leib und Leben als hoch. Gefährdet seien insbesondere Institutionen, mit denen er queruliere, sowie deren Personal. Er bezeichne die Risikovariablen in naher Zukunft als sehr ungünstig. Falls der Beschwerdeführer in seinen Möglichkeiten, zu querulieren, eingeschränkt werde, bestehe die Gefahr, dass er deutlich weiter gehe und seine Drohungen umsetze, damit er wieder im Mittelpunkt stehe oder um seine "Prozesse führen zu können". Entgegenwirkende, stützende Massnahmen würde er als massiv einschränkend erleben. Der Gutachter erklärte vor der Vorinstanz, es werde für den Beschwerdeführer schwieriger zu querulieren, weil sein Haftpflichtprozess und sein Verfahren vor dem EGMR weggefallen seien. Er müsse sich ein neues Feld suchen und finde es am leichtesten in einem Delikt. Bei Ablenkung sei er weniger gefährlich. Er habe Rachegelüste, möge Machtspiele und sei hochgradig gefährlich.</w:t>
      </w:r>
    </w:p>
    <w:p>
      <w:r>
        <w:t>Die kombinierte Persönlichkeitsstörung sei schwierig zu behandeln. Eine verhaltenstherapeutische Psychotherapie sei am ehesten im stationären Rahmen durchführbar. Bei Behandlungserfolg könne der Gefahr neuer Straftaten begegnet werden. Vor der Vorinstanz stufte der Gutachter die Erfolgsaussichten einer ambulanten Behandlung als sehr schlecht ein und empfahl eine stationäre Massnahme. Eine Motivierbarkeit erachtete er als gegeben. Der Gutachter setzte sich vor der Vorinstanz auch mit den Vorbringen der Verteidigung und des Beschwerdeführers zu einer von Prof. Y.________ im Jahre 2006 erwogenen Borderline-Symptomatik auseinander. Damit liege keine abschliessende Diagnose vor. Die Vorinstanz stellt fest, die knappe und nicht verbindliche Darstellung von Prof. Y.________ sei nicht geeignet, das Gutachten und die gutachterlichen Ausführungen in Zweifel zu ziehen.</w:t>
      </w:r>
    </w:p>
    <w:p>
      <w:r>
        <w:rPr>
          <w:b/>
        </w:rPr>
        <w:t>E. 3.3</w:t>
      </w:r>
    </w:p>
    <w:p>
      <w:r>
        <w:t>Staatliche Eingriffe in die Freiheitsrechte setzen ein öffentliches Interesse voraus und müssen verhältnismässig sein ( Art. 36 Abs. 3 BV ; vgl. BGE 140 II 194 E. 5.8.2 zu Art. 5 Abs. 2 BV ). Entsprechend setzt Art. 56 Abs. 2 StGB voraus, dass der mit einer Massnahme verbundene Eingriff in die Persönlichkeitsrechte des Täters im Hinblick auf die Wahrscheinlichkeit und Schwere weiterer Straftaten nicht unverhältnismässig ist.</w:t>
      </w:r>
    </w:p>
    <w:p>
      <w:r>
        <w:t>Das Gericht kann die stationäre therapeutische Massnahme gemäss Art. 59 Abs. 1 StGB (Behandlung von psychischen Störungen) anordnen, wenn der Täter ein Verbrechen oder Vergehen begangen hat, das mit seiner psychischen Störung im Zusammenhang steht (lit. a), und zu erwarten ist, dadurch lasse sich der Gefahr weiterer mit seiner psychischen Störung in Zusammenhang stehender Taten begegnen (lit. b). Das Gericht ordnet diejenige Massnahme an, die den Täter am wenigsten beschwert ( Art. 56a Abs. 1 StGB ).</w:t>
      </w:r>
    </w:p>
    <w:p>
      <w:r>
        <w:rPr>
          <w:b/>
        </w:rPr>
        <w:t>E. 3.4</w:t>
      </w:r>
    </w:p>
    <w:p>
      <w:r>
        <w:t>Wie die Vorinstanz zutreffend annimmt, sind die Voraussetzungen von Art. 59 Abs. 1 StGB erfüllt. Der Beschwerdeführer ist psychisch schwer gestört. Die Vergehen wegen Tötungsdrohung und Gewaltpornografie stehen damit im Zusammenhang. Nicht zu verkennen ist die Waffenaffinität (oben Bst. A.b, A.c und B.b). Nach dem Gutachter kann mit einer Behandlung der Gefahr der zu erwartenden, schweren Straftaten begegnet werden, auch wenn die Störungen nur schwer behandelbar sind. Die Motivierbarkeit erachtete er als gegeben.</w:t>
      </w:r>
    </w:p>
    <w:p>
      <w:r>
        <w:t>Gemäss dem Verhältnismässigkeitsgebot ist bei geringem Verschulden und kurzer Freiheitsstrafe unter Umständen trotz Therapiebedürftigkeit von einer Massnahme abzusehen ( BGE 136 IV 156 E. 3.2). Gemäss Art. 59 StGB entscheidet indessen nicht das Strafmass, sondern die Frage, ob der mit dem Geisteszustand des Täters zusammenhängenden Wahrscheinlichkeit schwerer Straftaten mit einer stationären Therapie begegnet werden kann (vgl. BGE 127 IV 1 E.2c/cc S. 8; 136 IV 156 E. 2.3, 3.1 und 3.5). Der Beschwerdeführer wird vom Gutachter und der Vorinstanz als hochgradig gefährlich mit schlechter Legalprognose eingestuft, wobei eine progrediente Querulanz zu befürchten ist (vgl. Urteil 6B_175/2014 vom 3. Juli 2014 E. 3.3 mit Hinweis auf THOMAS NOLL, Rechtliche und kriminologische Aspekte bei Drohung gegen Behörden und Beamte durch Querulanten, ZStrR 132/2014 S. 210 ff.). Angesichts der Gefährlichkeit kommt der stationären Behandelbarkeit bei der Interessenabwägung grösseres Gewicht zu als dem Eingriff in die Freiheitsrechte (vgl. Urteil 6B_596/2011 vom 19. Januar 2012 E. 3.2.3 ff.).</w:t>
      </w:r>
    </w:p>
    <w:p>
      <w:r>
        <w:t>Bei der aufgezeigten schwierigen Behandelbarkeit und dem querulatorischen Grundmuster erweist sich eine ambulante Massnahme, wie sie die Verteidigung beantragt, als ungeeignet. Hingegen besteht aufgrund der gutachterlichen Ausführungen bei stationärer Behandlung eine hinreichende Wahrscheinlichkeit, dadurch lasse sich über die Dauer von fünf Jahren ( Art. 59 Abs. 4 StGB ) die Gefahr weiterer, mit der psychischen Störung in Zusammenhang stehender Taten deutlich verringern ( BGE 134 IV 315 E. 3.4.1 S. 321 f.). Die Notwendigkeit einer Massnahme ist ausgewiesen. Eine mildere Massnahme steht zurzeit nicht zur Verfügung. Die Rüge einer Unverhältnismässigkeit erweist sich als unbegründet.</w:t>
      </w:r>
    </w:p>
    <w:p>
      <w:r>
        <w:rPr>
          <w:b/>
        </w:rPr>
        <w:t>E. 4</w:t>
      </w:r>
    </w:p>
    <w:p>
      <w:r>
        <w:t>Die Beschwerde ist abzuweisen. Das Gesuch um unentgeltliche Rechtspflege kann gutgeheissen werden. Es sind keine Kosten aufzuerlegen. Der Rechtsvertreter des Beschwerdeführers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