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6B_549/2019 vom 29. Mai 2019</w:t>
      </w:r>
    </w:p>
    <w:p>
      <w:r>
        <w:t>Bundesgericht, 2019-05-29, FR</w:t>
      </w:r>
    </w:p>
    <w:p>
      <w:r>
        <w:rPr>
          <w:b/>
        </w:rPr>
        <w:t xml:space="preserve">Quelle: </w:t>
      </w:r>
      <w:r>
        <w:t>https://mcp.opencaselaw.ch/entscheid/bger_6B_549_2019</w:t>
      </w:r>
    </w:p>
    <w:p>
      <w:r>
        <w:t>FR: TF 6B_549/2019 du 29 mai 2019</w:t>
      </w:r>
    </w:p>
    <w:p>
      <w:r>
        <w:t>IT: TF 6B_549/2019 del 29 maggio 2019</w:t>
      </w:r>
    </w:p>
    <w:p>
      <w:pPr>
        <w:pStyle w:val="Heading2"/>
      </w:pPr>
      <w:r>
        <w:t>Erwägungen</w:t>
      </w:r>
    </w:p>
    <w:p>
      <w:r>
        <w:rPr>
          <w:b/>
        </w:rPr>
        <w:t>E. 1</w:t>
      </w:r>
    </w:p>
    <w:p>
      <w:r>
        <w:t>Dans une section de son mémoire de recours intitulée "Les faits", le recourant revient sur sa situation en Suisse et le déroulement de la procédure, en introduisant divers éléments qui ne ressortent pas de l'état de fait de la cour cantonale ou qui entrent en contradiction avec celui-ci, sans toutefois démontrer en quoi ledit état de fait aurait été établi de manière arbitraire (cf. art. 97 al. 1 LTF ). Ce faisant, le recourant ne présente aucun grief recevable.</w:t>
      </w:r>
    </w:p>
    <w:p>
      <w:r>
        <w:rPr>
          <w:b/>
        </w:rPr>
        <w:t>E. 2</w:t>
      </w:r>
    </w:p>
    <w:p>
      <w:r>
        <w:t>Le recourant reproche à l'autorité précédente d'avoir violé l' art. 66a bis CP en ordonnant son expulsion du territoire suisse pour une durée de cinq ans.</w:t>
      </w:r>
    </w:p>
    <w:p>
      <w:r>
        <w:rPr>
          <w:b/>
        </w:rPr>
        <w:t>E. 2.1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6B_242/2019 du 18 mars 2019 consid. 1.1;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6B_242/2019 précité consid. 1.1; 6B_1314/2019 précité consid. 5.1; 6B_607/2018 précité consid. 1.4.1; 6B_371/2018 précité consid. 3.2).</w:t>
      </w:r>
    </w:p>
    <w:p>
      <w:r>
        <w:rPr>
          <w:b/>
        </w:rPr>
        <w:t>E. 2.2</w:t>
      </w:r>
    </w:p>
    <w:p>
      <w:r>
        <w:t>La cour cantonale a exposé que, bien que la gravité de l'infraction de séjour illégal commise par le recourant dans le cadre de la présente procédure fût relative, l'ensemble de ses antécédents devait être pris en compte. Outre que le recourant séjournait en Suisse sans titre valable depuis son arrivée en 2006, il s'était rendu coupable, de manière réitérée, d'infractions contre le patrimoine et contre l'intégrité corporelle, ce qui dénotait son mépris de l'ordre juridique suisse et son incapacité totale à respecter celui-ci. Cela montrait également la dangerosité de l'intéressé. La durée du séjour en Suisse était importante. Les années passées en Suisse - dont une bonne partie l'avait été en détention - n'étaient cependant que le résultat de la persistance du recourant dans l'illicéité. Ce dernier ne s'était par ailleurs nullement intégré en Suisse, où il n'avait jamais travaillé et n'avait pas de domicile. Il n'y avait pas développé de cercle social et n'y avait pas de famille. Le recourant n'avait pas démontré l'existence - alléguée - d'une concubine ou d'un enfant en Suisse. Les liens subsistant entre le recourant et l'Algérie étaient ténus, dès lors que l'intéressé avait déclaré ne plus y avoir de famille. Les chances de resocialisation ou de réinsertion de celui-ci n'y étaient cependant pas plus minces qu'en Suisse. Au contraire, le recourant avait davantage de perspectives professionnelles dans son pays, puisqu'il ne pouvait travailler en Suisse. L'autorité précédente en a conclu que l'intérêt du recourant - lequel s'était durablement installé dans la délinquance - à demeurer en Suisse était moindre que l'intérêt public présidant à son expulsion.</w:t>
      </w:r>
    </w:p>
    <w:p>
      <w:r>
        <w:rPr>
          <w:b/>
        </w:rPr>
        <w:t>E. 2.3</w:t>
      </w:r>
    </w:p>
    <w:p>
      <w:r>
        <w:t>La pesée des intérêts opérée par la cour cantonale ne prête pas le flanc à la critique, tous les aspects pertinents ayant par ailleurs été considérés. Le recourant perd de vue - lorsqu'il affirme que l'intérêt public à son expulsion serait "nul" au regard de l'infraction de séjour illégal pour laquelle il a été condamné - qu'un tel intérêt découle de l'objectif de sécurité publique visé par cette mesure. Or, un tel intérêt est incontestable compte tenu des antécédents particulièrement lourds - soit neuf condamnations passées, ayant notamment entraîné le prononcé de peines privatives de liberté de 15 mois, trois ans, ou encore quatre ans s'agissant de celle de 2016 - du recourant (cf. à cet égard arrêt 6B_607/2018 précité consid. 1.4.3).</w:t>
      </w:r>
    </w:p>
    <w:p>
      <w:r>
        <w:t>L'argumentation du recourant est irrecevable dans la mesure où elle suppose que l'intéressé serait le père d'un enfant en Suisse, élément que la cour cantonale n'a pas retenu sans que celui-ci démontre que les faits auraient été arbitrairement établis sur ce point (cf. art. 97 al. 1 LTF ). Au demeurant, à supposer même que le recourant soit le père biologique d'un enfant, il ne prétend ni ne démontre avoir reconnu celui-ci, entretenir des liens quelconques avec cette prétendue descendance ou en avoir la garde, d'une manière qui permettrait de considérer - au regard des critères fixés par la jurisprudence en la matière (cf. ATF 144 I 91 p. 96 s.) - qu'il aurait une "vie familiale" en Suisse selon l' art. 8 par. 1 CEDH .</w:t>
      </w:r>
    </w:p>
    <w:p>
      <w:r>
        <w:t>Par ailleurs, le recourant ne peut rien tirer de l' art. 8 par. 1 CEDH en relation avec un droit au respect de sa "vie privée". En effet, pour s'en prévaloir, l'étranger doit établir l'existence de liens sociaux et professionnels spécialement intenses avec la Suisse, notablement supérieurs à ceux qui résultent d'une intégration ordinaire (cf. arrêts 6B_143/2019 du 6 mars 2019 consid. 3.3.2; 6B_1329/2018 du 14 février 2019 consid. 2.3.2). Tel n'est pas le cas en l'espèce, le recourant ne soutenant pas même être d'une quelconque manière intégré dans ce pays. Par ailleurs, si la durée du séjour en Suisse de l'intéressé n'est certes pas négligeable, le Tribunal fédéral, selon sa jurisprudence constante, considère cet aspect comme un élément parmi d'autres, en n'accordant qu'un faible poids aux années y ayant été passées dans l'illégalité, en prison ou au bénéfice d'une simple tolérance (cf. ATF 134 II 10 consid. 4.3 p. 24; plus récemment arrêt 6B_143/2019 précité consid. 3.3.2 et les références citées). Or, en l'occurrence, le recourant a passé toutes les années dont il se prévaut en Suisse dans l'illégalité, pour bonne part en prison.</w:t>
      </w:r>
    </w:p>
    <w:p>
      <w:r>
        <w:t>En définitive, compte tenu de l'absence totale d'intégration du recourant en Suisse - pays dans lequel celui-ci n'a jamais séjourné légalement, travaillé ou développé des liens sociaux ou familiaux -, on ne voit pas en quoi pourrait consister son intérêt personnel à y demeurer. L'intéressé ne peut se prévaloir d'aucun droit à séjourner en Suisse, ni se plaindre d'une quelconque atteinte à des garanties découlant des art. 13 Cst. ou 8 CEDH. A l'inverse, l'intérêt public présidant à son expulsion est élevé, de sorte que la mesure prononcée ne viole, sur le principe, aucunement le droit fédéral.</w:t>
      </w:r>
    </w:p>
    <w:p>
      <w:r>
        <w:t>Pour le reste, la durée de l'expulsion n'a pas à être symétrique à la durée de la peine prononcée (cf. arrêt 6B_242/2019 précité consid. 1.3). L'arrêt publié aux ATF 123 IV 107 - auquel se réfère le recourant - exigeait bien, en principe, l'existence d'une certaine cohérence entre la peine principale et la durée d'une expulsion fondée sur l'art. 55 al. 1 aCP. Pour autant que cette jurisprudence puisse être transposée telle quelle à l'application de l' art. 66a bis CP , il apparaît que celle-ci précisait notamment qu'une personne ayant commis de nombreuses infractions et qui compromettait gravement la sécurité publique pouvait être frappée par une expulsion de longue durée, même si la dernière infraction sanctionnée n'était pas particulièrement grave. Il en ressortait aussi qu'une discordance entre la sanction infligée et la durée de l'expulsion n'était aucunement exclue, pour autant que la décision révélât les motifs d'une telle disparité (cf. ATF 123 IV 107 consid. 3 p. 110 s.). En l'espèce, on comprend, à la lecture de l'arrêt attaqué, que le sérieux danger que fait planer le recourant sur l'ordre et la sécurité publics justifiait une expulsion d'une durée importante, en dépit de la modeste peine prononcée. On peut ajouter que si la durée de cinq ans n'est pas négligeable - en particulier au regard de la peine limitée à laquelle le recourant a été condamné -, celle-ci ne représente qu'un tiers de la durée maximale d'une mesure d'expulsion au sens de l' art. 66a bis CP .</w:t>
      </w:r>
    </w:p>
    <w:p>
      <w:r>
        <w:t>Au vu de ce qui précède, la cour cantonale a, à bon droit, ordonné l'expulsion du recourant du territoire suisse pour une durée de cinq années, cette mesure n'apparaissant pas disproportionnée. Le grief doit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