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6B_547/2008 vom 5. August 2008</w:t>
      </w:r>
    </w:p>
    <w:p>
      <w:r>
        <w:t>Bundesgericht, 2008-08-05, FR</w:t>
      </w:r>
    </w:p>
    <w:p>
      <w:r>
        <w:rPr>
          <w:b/>
        </w:rPr>
        <w:t xml:space="preserve">Quelle: </w:t>
      </w:r>
      <w:r>
        <w:t>https://mcp.opencaselaw.ch/entscheid/bger_6B_547_2008</w:t>
      </w:r>
    </w:p>
    <w:p>
      <w:r>
        <w:t>FR: TF 6B_547/2008 du 5 août 2008</w:t>
      </w:r>
    </w:p>
    <w:p>
      <w:r>
        <w:t>IT: TF 6B_547/2008 del 5 agosto 2008</w:t>
      </w:r>
    </w:p>
    <w:p>
      <w:pPr>
        <w:pStyle w:val="Heading2"/>
      </w:pPr>
      <w:r>
        <w:t>Erwägungen</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le recourant qui conteste la sanction infligée est habilité à former (art. 81 al. 1 let. a et let. b ch. 3 LTF). Celui-ci peut faire valoir tous les motifs de recours prévus aux art. 95 à 98 LTF ( ATF 134 IV 36 consid. 1.4 p. 39 ss).</w:t>
      </w:r>
    </w:p>
    <w:p>
      <w:r>
        <w:rPr>
          <w:b/>
        </w:rPr>
        <w:t>E. 1.2</w:t>
      </w:r>
    </w:p>
    <w:p>
      <w:r>
        <w:t>Le recours en matière pénale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l'art. 90 al. 1 let. b aOJ (FF 2001 p. 4142).</w:t>
      </w:r>
    </w:p>
    <w:p>
      <w:r>
        <w:rPr>
          <w:b/>
        </w:rPr>
        <w:t>E. 1.3</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fait valoir que, dans son arrêt du 10 mai 2007, la Cour de cassation s'est substituée au juge du fond, à l'instar d'une cour d'appel, en examinant des critères de la fixation de la peine et la fixation même de cette peine. Selon lui, elle aurait dû se limiter à casser le jugement des premiers juges et les inviter à se prononcer sur cette question.</w:t>
      </w:r>
    </w:p>
    <w:p>
      <w:r>
        <w:rPr>
          <w:b/>
        </w:rPr>
        <w:t>E. 2.1</w:t>
      </w:r>
    </w:p>
    <w:p>
      <w:r>
        <w:t>Le grief porte sur l'arrêt de renvoi du 10 mai 2007. Celui-ci n'a pas mis fin à la procédure cantonale et constitue donc une décision incidente qui ne peut faire l'objet d'un recours direct au Tribunal fédéral qu'aux conditions prévues à l' art. 93 al. 1 let. a et b LTF . Si le recours direct n'est pas recevable ou n'a pas été utilisé, l' art. 93 al. 3 LTF prévoit que la décision peut être attaquée par un recours contre la décision finale dans la mesure où elle influe sur le contenu de celle-ci. Cette condition doit être considérée comme remplie en l'espèce, dès lors que le tribunal correctionnel et la Cour de cassation elle-même sont liés par les considérants de l'arrêt de renvoi. Le grief soulevé est donc recevable.</w:t>
      </w:r>
    </w:p>
    <w:p>
      <w:r>
        <w:rPr>
          <w:b/>
        </w:rPr>
        <w:t>E. 2.2</w:t>
      </w:r>
    </w:p>
    <w:p>
      <w:r>
        <w:t>Le Tribunal fédéral revoit l'interprétation et l'application du droit cantonal sous l'angle de l'arbitraire ( ATF 131 I 217 consid. 2.1 p. 219;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131 I 217 consid. 2.1 p. 219; 129 I 8 consid. 2.1 p. 9 et les arrêts cités). En outre, l'annulation de la décision attaquée ne se justifie que si celle-ci est arbitraire dans son résultat ( ATF 129 I 173 consid. 3 p. 178), ce qu'il appartient au recourant de démontrer ( art. 106 al. 2 LTF ).</w:t>
      </w:r>
    </w:p>
    <w:p>
      <w:r>
        <w:rPr>
          <w:b/>
        </w:rPr>
        <w:t>E. 2.3</w:t>
      </w:r>
    </w:p>
    <w:p>
      <w:r>
        <w:t>En procédure pénale neuchâteloise, lorsque les motifs de pourvoi sont reconnus fondés, le jugement est dans la règle générale cassé et la Cour de cassation désigne le tribunal auquel la cause est renvoyée pour nouveau jugement ( art. 252 CPP /NE). La jurisprudence neuchâteloise a précisé que, pour des motifs d'économie de procédure, la Cour de cassation peut prononcer la cassation partielle d'un jugement de cour d'assises insuffisamment motivé en ce qui concerne la mesure des peines (Bauer/Cornu, Code de procédure pénale neuchâteloise annoté, Neuchâtel 2001, art. 252, n. 2, p. 526).</w:t>
      </w:r>
    </w:p>
    <w:p>
      <w:r>
        <w:rPr>
          <w:b/>
        </w:rPr>
        <w:t>E. 2.4</w:t>
      </w:r>
    </w:p>
    <w:p>
      <w:r>
        <w:t>En l'espèce, la Cour de cassation a considéré que le tribunal correctionnel avait violé l'art. 63 aCP en ne tenant pas compte, lors de la fixation de la peine, de deux éléments favorables au prévenu, à savoir le repentir qu'il avait exprimé et les relations qu'il avait avec sa victime. En conséquence, elle a cassé le jugement attaqué et a renvoyé la cause « à un autre tribunal, qui aura pour tâche de prononcer une peine significativement moins élevée en ayant soin d'examiner si, même sous l'ancien droit, on aurait pu envisager une peine compatible avec le sursis ». Ce faisant, elle n'a pas réformé le jugement attaqué, mais exposé en quoi celui-ci violait le droit fédéral et attiré l'attention des premiers juges sur la question du sursis. Elle n'a dès lors pas violé le droit de procédure cantonal, qui l'autorise à casser partiellement un jugement en ce qui concerne la peine et à renvoyer la cause pour nouveau jugement à un tribunal de première instance. Mal fondé, le grief soulevé doit être rejeté.</w:t>
      </w:r>
    </w:p>
    <w:p>
      <w:r>
        <w:rPr>
          <w:b/>
        </w:rPr>
        <w:t>E. 3</w:t>
      </w:r>
    </w:p>
    <w:p>
      <w:r>
        <w:t>Le recourant considère que la peine privative de liberté de vingt-deux mois infligée à l'intimé est excessivement modérée. Selon lui, la Cour de cassation aurait accordé un poids prépondérant aux excuses exprimées par l'intimé ainsi qu'aux relations ambivalentes existant entre ce dernier et sa victime.</w:t>
      </w:r>
    </w:p>
    <w:p>
      <w:r>
        <w:rPr>
          <w:b/>
        </w:rPr>
        <w:t>E. 3.1</w:t>
      </w:r>
    </w:p>
    <w:p>
      <w:r>
        <w:t>Les faits reprochés au recourant ont été commis avant l'entrée en vigueur, le 1er janvier 2007, des nouvelles dispositions de la partie générale du code pénal. Les autorités cantonales, qui ont statué postérieurement à cette date, devaient donc examiner si, en vertu du principe de la lex mitior ( art. 2 al. 2 CP ), le nouveau droit n'était pas plus favorable au recourant. A juste titre, elles ont appliqué le nouveau droit, car celui-ci prévoit que les peines de six mois à deux ans peuvent être assorties du sursis et que les peines d'un an à trois ans peuvent être suspendues partiellement, alors que, selon l'ancien droit, seules des peines n'excédant pas dix-huit mois pouvaient être prononcées avec sursis ( art. 42 et 43 CP et art. 41 aCP).</w:t>
      </w:r>
    </w:p>
    <w:p>
      <w:r>
        <w:rPr>
          <w:b/>
        </w:rPr>
        <w:t>E. 3.2.1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3.2.2</w:t>
      </w:r>
    </w:p>
    <w:p>
      <w:r>
        <w:t>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 ATF 129 IV 6 consid. 6.1).</w:t>
      </w:r>
    </w:p>
    <w:p>
      <w:r>
        <w:rPr>
          <w:b/>
        </w:rPr>
        <w:t>E. 3.2.3</w:t>
      </w:r>
    </w:p>
    <w:p>
      <w:r>
        <w:t>Lorsqu'il fixe la peine, le juge doit prendre en considération les relations qui peuvent exister entre l'auteur et la victime et déterminer si celles-ci sont propres à accroître ou à diminuer la culpabilité ( ATF 116 IV 179 ).</w:t>
      </w:r>
    </w:p>
    <w:p>
      <w:r>
        <w:t>Le juge devra également tenir compte des repentirs et des regrets manifestés par l'auteur après la commission de l'acte ( ATF 118 IV 337 consid. 2c p. 341; Wiprächtiger, Basler Kommentar, Strafrecht I, 2e éd., 2007, art. 47, n. 134).</w:t>
      </w:r>
    </w:p>
    <w:p>
      <w:r>
        <w:rPr>
          <w:b/>
        </w:rPr>
        <w:t>E. 3.3.1</w:t>
      </w:r>
    </w:p>
    <w:p>
      <w:r>
        <w:t>Le recourant reproche à la Cour de cassation d'avoir retenu que l'intimé avait exprimé des regrets et des excuses qui n'apparaissaient pas exempts de sincérité. A ses yeux, les rétractations de l'intimé montrent le défaut de sincérité de ses regrets.</w:t>
      </w:r>
    </w:p>
    <w:p>
      <w:r>
        <w:t>Savoir si les regrets exprimés par l'intimé sont ou non sincères est une question de fait. Or, la cour de céans ne revoit l'établissement des faits - sous réserve de l'allégation d'une violation du droit au sens de l' art. 95 LTF - que lorsqu'il est entaché d'inexactitude manifeste ( art. 97 al. 1 LTF ), à savoir d'arbitraire ( ATF 134 IV 36 , consid. 1.4.1).</w:t>
      </w:r>
    </w:p>
    <w:p>
      <w:r>
        <w:t>En l'occurrence, la Cour de cassation s'est fondée sur les auditions de l'intimé pour retenir que ses regrets et excuses étaient sincères. Contrairement à ce que soutient le recourant, le fait que l'accusé nie l'acte ou se rétracte ne permet pas encore de conclure qu'il n'en voit pas le caractère répréhensible et qu'il ne le regrette pas, la rétractation pouvant découler d'autres mobiles. Sans en déduire une absence de sincérité, la Cour de cassation a simplement considéré que les rétractations de l'intimé étaient le fruit d'une mauvaise tactique de défense, dont il n'était pas totalement responsable. Cette explication est défendable et ne peut être qualifiée d'arbitraire. Mal fondé, le grief doit être rejeté.</w:t>
      </w:r>
    </w:p>
    <w:p>
      <w:r>
        <w:rPr>
          <w:b/>
        </w:rPr>
        <w:t>E. 3.3.2</w:t>
      </w:r>
    </w:p>
    <w:p>
      <w:r>
        <w:t>En outre, le recourant reproche à la Cour de cassation d'avoir retenu, en faveur de l'intimé, les relations singulières et ambivalentes qu'il entretenait avec la victime.</w:t>
      </w:r>
    </w:p>
    <w:p>
      <w:r>
        <w:t>En l'espèce, il ressort de l'état de fait cantonal que l'intimé entretenait, depuis l'été 2004, une relation avec la victime à la suite de leur rencontre en Tunisie et qu'ils projetaient de se marier le 25 août 2005, mais qu'ils y ont finalement renoncé. Le soir du viol, l'intimé avait entretenu, dans un premier temps, avec sa victime une relation sexuelle complète avec son consentement. De l'ensemble des circonstances, la juridiction cantonale pouvait déduire qu'il existait entre l'intimé et la victime des relations singulières et ambivalentes et que cet élément devait avoir pour effet de diminuer la peine de l'intimé.</w:t>
      </w:r>
    </w:p>
    <w:p>
      <w:r>
        <w:rPr>
          <w:b/>
        </w:rPr>
        <w:t>E. 3.3.3</w:t>
      </w:r>
    </w:p>
    <w:p>
      <w:r>
        <w:t>C'est donc à tort que le recourant reproche à la Cour de cassation d'avoir tenu compte des relations existant entre l'intimé et sa victime ainsi que des regrets sincères exprimés par celui-ci. Il convient encore d'examiner si la Cour de cassation a accordé à ces éléments une importance prépondérante par rapport aux autres facteurs, comme le soutient le recourant.</w:t>
      </w:r>
    </w:p>
    <w:p>
      <w:r>
        <w:t>En l'espèce, la faute de l'intimé doit être qualifiée de lourde, vu la gravité des infractions contre l'intégrité sexuelle. Après un premier rapport sexuel consenti, l'intimé a sodomisé son ex-compagne contre son gré, puis l'a forcée a entretenir de nouvelles relations sexuelles. A charge, il faut encore retenir le concours d'infractions ( art. 49 CP ) entre le viol, les lésions corporelles simples, la contrainte sexuelle et l'infraction à la LSEE. A décharge, il faut prendre en considération l'absence d'antécédents, les relations existant entre l'intimé et la victime, les regrets et excuses. Au vu de l'ensemble de ces éléments, une peine de vingt-deux mois ne paraît pas excessivement modérée.</w:t>
      </w:r>
    </w:p>
    <w:p>
      <w:r>
        <w:rPr>
          <w:b/>
        </w:rPr>
        <w:t>E. 4</w:t>
      </w:r>
    </w:p>
    <w:p>
      <w:r>
        <w:t>Le recours doit ainsi être rejeté.</w:t>
      </w:r>
    </w:p>
    <w:p>
      <w:r>
        <w:t>Il n'y a pas lieu de prélever des frais ( art. 66 al. 4 LTF )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