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6B_546/2019 vom 26. Juni 2019</w:t>
      </w:r>
    </w:p>
    <w:p>
      <w:r>
        <w:t>Bundesgericht, 2019-06-26, DE</w:t>
      </w:r>
    </w:p>
    <w:p>
      <w:r>
        <w:rPr>
          <w:b/>
        </w:rPr>
        <w:t xml:space="preserve">Quelle: </w:t>
      </w:r>
      <w:r>
        <w:t>https://mcp.opencaselaw.ch/entscheid/bger_6B_546_2019</w:t>
      </w:r>
    </w:p>
    <w:p>
      <w:r>
        <w:t>FR: TF 6B_546/2019 du 26 juin 2019</w:t>
      </w:r>
    </w:p>
    <w:p>
      <w:r>
        <w:t>IT: TF 6B_546/2019 del 26 giugno 2019</w:t>
      </w:r>
    </w:p>
    <w:p>
      <w:pPr>
        <w:pStyle w:val="Heading2"/>
      </w:pPr>
      <w:r>
        <w:t>Erwägungen</w:t>
      </w:r>
    </w:p>
    <w:p>
      <w:r>
        <w:rPr>
          <w:b/>
        </w:rPr>
        <w:t>E. 1</w:t>
      </w:r>
    </w:p>
    <w:p>
      <w:r>
        <w:t>A.________,</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Es ist zweifelhaft, ob die Beschwerdeführer überhaupt legitimiert sind, den vorinstanzlichen Entscheid anzufechten, da ihnen die Befugnis abgeht, zivilrechtliche Forderungen gegen Mitglieder der Interventionsgruppe U.________ der Walliser Kantonspolizei zu stellen (Art. 81 Abs. 1 lit. b Ziff. 5 BGG; siehe Art. 4 und 5 des Gesetzes über die Verantwortlichkeit der öffentlichen Gemeinwesen und ihrer Amtsträger des Kantons Wallis vom 10. 5. 1978 [SGS 170.1]). Die Beschwerdelegitimation könnte sich einzig auf Art. 10 Abs. 3 BV und Art. 3 EMRK stützen (vgl. Urteil 6B_364/2011 vom 24. Oktober 2011 E. 2.2). Dies kann offen bleiben, da auf die Beschwerde aus andern Gründen nicht eingetreten werden kann.</w:t>
      </w:r>
    </w:p>
    <w:p>
      <w:r>
        <w:rPr>
          <w:b/>
        </w:rPr>
        <w:t>E. 4</w:t>
      </w:r>
    </w:p>
    <w:p>
      <w:r>
        <w:t>Anfechtbar ist nur der letztinstanzliche kantonale Entscheid ( Art. 80 Abs. 1 BGG ). Somit kann auf die Beschwerde von vornherein nicht eingetreten werden, soweit die Beschwerdeführer sich darin z.B. zu andern Verfahren äussern als zu demjenigen, das zur angefochtenen Verfügung geführt hat.</w:t>
      </w:r>
    </w:p>
    <w:p>
      <w:r>
        <w:rPr>
          <w:b/>
        </w:rPr>
        <w:t>E. 5</w:t>
      </w:r>
    </w:p>
    <w:p>
      <w:r>
        <w:t>Eine Beschwerde hat ein Begehren und deren Begründung zu enthalten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6</w:t>
      </w:r>
    </w:p>
    <w:p>
      <w:r>
        <w:t>Die Beschwerdeeingabe genügt diesen Begründungsanforderungen nicht. Die Beschwerdeführer setzen sich mit den pauschal als "irrig", "widersprüchlich" und "weitschweifig" bezeichneten Erwägungen in der angefochtenen Verfügung nicht substanziiert auseinander. Stattdessen rufen sie wahllos Konventions-, Verfassungs- und Gesetzesnormen an, die verletzt sein sollen, schildern die Sachlage ausgiebig aus ihrer subjektiven Sicht und kritisieren die Nichtanhandnahmeverfügung der Staatsanwaltschaft und insbesondere deren Verfahrensführung heftig, ohne indessen einen hinreichend konkreten Bezug auf das vorinstanzliche Verfahrensdossier und die angefochtene Verfügung herzustellen. Die Beschwerdeführer verkennen, dass blosse Behauptungen, Anschuldigungen und Vorwürfe keine genügende Auseinandersetzung mit den vorinstanzlichen Erwägungen darstellen. Nicht Gegenstand des vorliegenden Verfahrens sind der Polizeieinsatz im Kanton Bern und die geltend gemachte Staatshaftung. Die Beschwerde enthält damit offensichtlich keine hinreichende Begründung. Aus ihr ergibt sich nicht, inwiefern das Kantonsgericht mit der angefochtenen Verfügung gegen das Recht im Sinne von Art. 95 BGG verstossen haben könnte.</w:t>
      </w:r>
    </w:p>
    <w:p>
      <w:r>
        <w:rPr>
          <w:b/>
        </w:rPr>
        <w:t>E. 7</w:t>
      </w:r>
    </w:p>
    <w:p>
      <w:r>
        <w:t>Ohne dass sich das Bundesgericht zu sämtlichen Vorbringen der Beschwerdeführer ausdrücklich äussern müsste, ist auf die Beschwerde im Verfahren nach Art. 108 BGG nicht einzutreten. Bei diesem Ausgang des Verfahrens tragen die Beschwerdeführer die Gerichtskosten ( Art. 66 Abs. 1 BGG ). Ihre finanzielle Lage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