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546/2016 vom 1. Juni 2016</w:t>
      </w:r>
    </w:p>
    <w:p>
      <w:r>
        <w:t>Bundesgericht, 2016-06-01, FR</w:t>
      </w:r>
    </w:p>
    <w:p>
      <w:r>
        <w:rPr>
          <w:b/>
        </w:rPr>
        <w:t xml:space="preserve">Quelle: </w:t>
      </w:r>
      <w:r>
        <w:t>https://mcp.opencaselaw.ch/entscheid/bger_6B_546_2016</w:t>
      </w:r>
    </w:p>
    <w:p>
      <w:r>
        <w:t>FR: TF 6B 546/2016 du 1 juin 2016</w:t>
      </w:r>
    </w:p>
    <w:p>
      <w:r>
        <w:t>IT: TF 6B 546/2016 del 1 giugno 2016</w:t>
      </w:r>
    </w:p>
    <w:p>
      <w:pPr>
        <w:pStyle w:val="Heading2"/>
      </w:pPr>
      <w:r>
        <w:t>Regeste</w:t>
      </w:r>
    </w:p>
    <w:p>
      <w:r>
        <w:t>Ordonnance de classement (lésions corporelles simples), qualité pour recourir au Tribunal fédéral | Procédure pénale</w:t>
      </w:r>
    </w:p>
    <w:p>
      <w:pPr>
        <w:pStyle w:val="Heading2"/>
      </w:pPr>
      <w:r>
        <w:t>Erwägungen</w:t>
      </w:r>
    </w:p>
    <w:p>
      <w:r>
        <w:rPr>
          <w:b/>
        </w:rPr>
        <w:t>E. 1</w:t>
      </w:r>
    </w:p>
    <w:p>
      <w:r>
        <w:t>Par arrêt du 17 février 2016, la Chambre des recours pénale du Tribunal cantonal vaudois a rejeté le recours de X.________ et confirmé l'ordonnance du 25 novembre 2015 prononçant le classement de sa plainte pénale contre A.________, médecin exerçant au centre d'imagerie B.________, pour lésions corporelles simples, subsidiairement lésions corporelles par négligence, à la suite d'une biopsie mammaire subie le 29 avril 2014 dans le cabinet de ce médecin. X.________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 recourante ne se détermine nullement sur un éventuel tort moral ou dommage, ni sur leur principe ni sur leur quotité. L'absence d'explication sur la question des prétentions civiles exclut sa qualité pour recourir sur le fond de la cause. Les griefs soulevés en ce sens sont irrecevables.</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borne à soulever des critiques ayant trait à l'instruction, selon elle incomplète, de la cause, soit des griefs rattachés au fond du dossier qui sont par conséquent irrecevables.</w:t>
      </w:r>
    </w:p>
    <w:p>
      <w:r>
        <w:rPr>
          <w:b/>
        </w:rPr>
        <w:t>E. 2.4</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