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6B_544/2016 vom 17. November 2016</w:t>
      </w:r>
    </w:p>
    <w:p>
      <w:r>
        <w:t>Bundesgericht, 2016-11-17, FR</w:t>
      </w:r>
    </w:p>
    <w:p>
      <w:r>
        <w:rPr>
          <w:b/>
        </w:rPr>
        <w:t xml:space="preserve">Quelle: </w:t>
      </w:r>
      <w:r>
        <w:t>https://mcp.opencaselaw.ch/entscheid/bger_6B_544_2016</w:t>
      </w:r>
    </w:p>
    <w:p>
      <w:r>
        <w:t>FR: TF 6B_544/2016 du 17 novembre 2016</w:t>
      </w:r>
    </w:p>
    <w:p>
      <w:r>
        <w:t>IT: TF 6B_544/2016 del 17 novembre 2016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La recourante réclame une indemnité pour tort moral de 2'000 fr. au motif qu'elle a présenté un stress post-traumatique d'une gravité suffisante pour qu'un suivi psychothérapeutique de soutien soit mis en oeuvre. Elle fait en particulier référence à l'expertise de crédibilité du 30 août 2015 de la Dresse B.________ déposée en cause. Cette expertise détaille avec beaucoup de précision les difficultés relationnelles et psychiques de la recourante et de l'intimé, sans toutefois les distinguer d'une atteinte psychique grave qui résulterait de l'altercation du 26 novembre 2014. Il s'ensuit que la recourante ne donne aucune indication permettant de rendre plausible le tort moral résultant des voies de fait dont elle prétend avoir été victime. Il est douteux que la motivation soit suffisante au regard de l' art. 42 al. 1 LTF . Quoi qu'il en soit, vu le sort du recours, cette question peut rester ouverte.</w:t>
      </w:r>
    </w:p>
    <w:p>
      <w:r>
        <w:rPr>
          <w:b/>
        </w:rPr>
        <w:t>E. 2</w:t>
      </w:r>
    </w:p>
    <w:p>
      <w:r>
        <w:t>La recourante se plaint d'une violation de son droit d'être entendue ( art. 29 Cst. ).</w:t>
      </w:r>
    </w:p>
    <w:p>
      <w:r>
        <w:rPr>
          <w:b/>
        </w:rPr>
        <w:t>E. 2.1</w:t>
      </w:r>
    </w:p>
    <w:p>
      <w:r>
        <w:t>La garantie constitutionnelle de l' 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 ATF 136 I 265 consid. 3.2 p. 272; 135 II 286 consid. 5.1 p. 293; 132 V 368 consid. 3.1 p. 370 s. et les références citées).</w:t>
      </w:r>
    </w:p>
    <w:p>
      <w:r>
        <w:rPr>
          <w:b/>
        </w:rPr>
        <w:t>E. 2.2</w:t>
      </w:r>
    </w:p>
    <w:p>
      <w:r>
        <w:t>En l'espèce, A.________ est arrivé sur le lieu de l'altercation alors que l'intimé tenait la recourante par les poignets. Cette dernière a indiqué lors de son interrogatoire : " je tirais en arrière mes bras pour qu'il (l'intimé) lâche sa prise. C'est à ce moment qu'un homme est arrivé en voiture en face de nous. Il a laissé ses phares allumés et il est sorti en disant qu'il était agent de police. A ce moment-là Y.________ a lâché prise ". Cette version des faits est confirmée par l'intimé. Il ressort donc des déclarations concordantes des parties que l'arrivée inopinée du témoin sur le lieu de la querelle est intervenue alors que l'intimé tenait déjà les poignets de la recourante. L'intervention de A.________ dans le déroulement des faits est trop tardive pour que son audition présente une quelconque utilité. En effet, il est manifeste que son interrogatoire ou le dépôt de la " main courante " évoquée par la recourante ne pourrait départager les allégations contradictoires des parties, faute de pouvoir expliquer qui a pris l'initiative de l'altercation et par conséquent d'indiquer si la réaction de l'intimé était ou non une réponse susceptible d'être qualifiée de légitime défense au sens de l' art. 15 CP .</w:t>
      </w:r>
    </w:p>
    <w:p>
      <w:r>
        <w:t>Le grief tiré d'une violation du droit d'être entendu se révèle ainsi mal fondé.</w:t>
      </w:r>
    </w:p>
    <w:p>
      <w:r>
        <w:rPr>
          <w:b/>
        </w:rPr>
        <w:t>E. 3</w:t>
      </w:r>
    </w:p>
    <w:p>
      <w:r>
        <w:t>La recourante se plaint d'une violation de l'interdiction de l'arbitraire et du principe " in dubio pro duriore ".</w:t>
      </w:r>
    </w:p>
    <w:p>
      <w:r>
        <w:rPr>
          <w:b/>
        </w:rPr>
        <w:t>E. 3.1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Une non-entrée en matière peut ainsi se justifier pour des motifs de faits. Il s'agit des cas où la preuve d'une infraction, soit la réalisation en fait de ses éléments constitutifs, n'est pas apportée par les pièces dont dispose le ministère public (PIERRE CORNU, in Commentaire romand, Code de procédure pénale suisse, 2011, n</w:t>
      </w:r>
    </w:p>
    <w:p>
      <w:r>
        <w:t>o 9 ad art. 310 CPP ). Il faut que l'insuffisance de charge soit manifeste (arrêt 6B_122/2013 du 11 juillet 2013 consid. 3.1). L'entrée en matière peut encore être refusée au terme des investigations policières ( art. 306 et 307 CPP ) - même diligentées à l'initiative du procureur - si les conditions de l' art. 310 al. 1 let. a CPP sont réunies (arrêts 1B_183/2012 du 20 novembre 2012 consid. 3; plus récemment 6B_271/2016 du 22 août 2016 consid. 2.1). Selon la jurisprudence, cette disposition doit être appliquée conformément à l'adage " in dubio pro duriore " (arrêt 6B_127/2013 du 3 septembre 2013 consid. 4.1). Celui-ci découle du principe de la légalité ( art. 5 al. 1 Cst. et 2 al. 2 CPP en relation avec les art. 319 al. 1 et 324 al. 1 CPP; cf. ATF 138 IV 86 consid. 4.2 p. 91; arrêt 6B_551/2015 du 24 février 2016 consid. 3)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186 consid. 4.1 p. 190 et les références citées; 137 IV 285 consid. 2.5 p. 288 s.).</w:t>
      </w:r>
    </w:p>
    <w:p>
      <w:r>
        <w:rPr>
          <w:b/>
        </w:rPr>
        <w:t>E. 3.2</w:t>
      </w:r>
    </w:p>
    <w:p>
      <w:r>
        <w:t>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p. 191 et les références citées).</w:t>
      </w:r>
    </w:p>
    <w:p>
      <w:r>
        <w:t>Aux termes de l' art. 15 CP , quiconque, de manière contraire au droit, est attaqué ou menacé d'une attaque imminente a le droit de repousser l'attaque par des moyens proportionnés aux circonstances.</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(arrêt 6B_600/2014 du 23 janvier 2015 consid. 5.1 non publié in ATF 141 IV 61 ; cf. également ATF 106 IV 12 consid. 2a p. 14).</w:t>
      </w:r>
    </w:p>
    <w:p>
      <w:r>
        <w:rPr>
          <w:b/>
        </w:rPr>
        <w:t>E. 3.3</w:t>
      </w:r>
    </w:p>
    <w:p>
      <w:r>
        <w:t>En substance, comme la cour cantonale l'a retenu - sans que la recourante n'en démontre l'arbitraire (cf. 105 al. 1 et 2 LTF; sur la notion d'arbitraire, ATF 141 IV 305 consid. 1.2 p. 308 s.; 140 III 16 consid. 2.1 p. 18 s.) - les protagonistes ont tous deux admis que A.________ était arrivé alors que l'altercation avait déjà débuté. Comme déjà relevé (cf. supra consid 2.2), l'audition du témoin n'aurait pas permis de déterminer si, comme le prétend la recourante, Y.________ s'est rendu coupable de voies de fait, ni si ce dernier a agi de la sorte pour éviter de recevoir des coups de pied. La recourante n'a pas non plus apporté la preuve de l'existence d'hématome et de griffure dont elle aurait été victime. Il est donc impossible d'établir le déroulement des faits dès lors que rien ne permet de confirmer ou d'infirmer l'une des versions. Dans ces circonstances, il apparaît clairement que les conditions posées par l' art. 310 al. 1 let. a CPP sont réunies, dès lors que la preuve d'une infraction n'a pas été apportée par les pièces déposées en cause et qu'aucun acte d'enquête ne pourrait étayer les charges alléguées contre Y.________.</w:t>
      </w:r>
    </w:p>
    <w:p>
      <w:r>
        <w:t>Partant, c'est sans violer le droit fédéral que la cour cantonale a confirmé l'ordonnance de non-entrée en matière rendue par l'Office régional du ministère public du Valais central.</w:t>
      </w:r>
    </w:p>
    <w:p>
      <w:r>
        <w:rPr>
          <w:b/>
        </w:rPr>
        <w:t>E. 4</w:t>
      </w:r>
    </w:p>
    <w:p>
      <w:r>
        <w:t>Il s'ensuit que le recours est rejeté dans la mesure où il est recevable. La recourante, qui succombe, supporte les frais judiciaires ( art. 66 al. 1 LTF ). L'intimé n'ayant pas été invité à se déterminer,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