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6B_543/2011 vom 7. Oktober 2011</w:t>
      </w:r>
    </w:p>
    <w:p>
      <w:r>
        <w:t>Bundesgericht, 2011-10-07, FR</w:t>
      </w:r>
    </w:p>
    <w:p>
      <w:r>
        <w:rPr>
          <w:b/>
        </w:rPr>
        <w:t xml:space="preserve">Quelle: </w:t>
      </w:r>
      <w:r>
        <w:t>https://mcp.opencaselaw.ch/entscheid/bger_6B_543_2011</w:t>
      </w:r>
    </w:p>
    <w:p>
      <w:r>
        <w:t>FR: TF 6B_543/2011 du 7 octobre 2011</w:t>
      </w:r>
    </w:p>
    <w:p>
      <w:r>
        <w:t>IT: TF 6B_543/2011 del 7 ottobre 2011</w:t>
      </w:r>
    </w:p>
    <w:p>
      <w:pPr>
        <w:pStyle w:val="Heading2"/>
      </w:pPr>
      <w:r>
        <w:t>Erwägungen</w:t>
      </w:r>
    </w:p>
    <w:p>
      <w:r>
        <w:rPr>
          <w:b/>
        </w:rPr>
        <w:t>E. 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cf. ATF 135 V 2 consid. 1.3 p. 4 s.). Le Tribunal fédéral n'examine les moyens fondés sur la violation d'un droit constitutionnel que s'ils ont été invoqués et motivés de manière précise ( art. 106 al. 2 LTF ). Les critiques de nature appellatoire sont irrecevables ( ATF 133 III 393 consid. 6 p. 397).</w:t>
      </w:r>
    </w:p>
    <w:p>
      <w:r>
        <w:t>La recourante soutient qu'elle se tenait près de l'axe central de la chaussée avant de bifurquer à gauche et non sur la droite de la chaussée. Ce faisant, elle se borne à opposer sa version des faits à celle retenue par la cour cantonale, selon laquelle le taxi ne longeait pas l'axe central de la chaussée et ne s'est pas mis à temps en ordre de présélection pour obliquer à gauche (cf. arrêt attaqué p. 8 in fine et 9). Purement appellatoire, l'argumentation de la recourante est irrecevable.</w:t>
      </w:r>
    </w:p>
    <w:p>
      <w:r>
        <w:rPr>
          <w:b/>
        </w:rPr>
        <w:t>E. 2.1</w:t>
      </w:r>
    </w:p>
    <w:p>
      <w:r>
        <w:t>La recourante conteste l'application de l' art. 125 CP . Selon elle, il incombait à l'intimé de respecter une distance suffisante en vertu de l' art. 34 al. 4 LCR et il n'avait pas à la dépasser dès lors qu'elle avait manifesté son intention de tourner à gauche ( art. 35 al. 5 LCR ). L'intimé aurait ainsi eu un comportement auquel elle n'avait pas à s'attendre.</w:t>
      </w:r>
    </w:p>
    <w:p>
      <w:r>
        <w:rPr>
          <w:b/>
        </w:rPr>
        <w:t>E. 2.2</w:t>
      </w:r>
    </w:p>
    <w:p>
      <w:r>
        <w:t>Selon l' art. 125 al. 1 CP ,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l'existence de lésions corporelles, une négligence et un lien de causalité entre la négligence et les lésions.</w:t>
      </w:r>
    </w:p>
    <w:p>
      <w:r>
        <w:rPr>
          <w:b/>
        </w:rPr>
        <w:t>E. 2.2.1</w:t>
      </w:r>
    </w:p>
    <w:p>
      <w:r>
        <w:t>La première condition est ici réalisée puisque l'intimé a été blessé dans l'accident.</w:t>
      </w:r>
    </w:p>
    <w:p>
      <w:r>
        <w:rPr>
          <w:b/>
        </w:rPr>
        <w:t>E. 2.2.2</w:t>
      </w:r>
    </w:p>
    <w:p>
      <w:r>
        <w:t>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122 IV 133 consid. 2a p. 135).</w:t>
      </w:r>
    </w:p>
    <w:p>
      <w:r>
        <w:t>Aux termes de l' art. 34 al. 3 LCR , 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t>Selon les constatations cantonales, la recourante n'a pas vu le scooter derrière elle, ne s'est pas mise en ordre de présélection à temps et a obliqué brusquement à gauche. Dans ces circonstances, elle n'a pas respecté la règle de prudence imposée par l' art. 34 al. 3 LCR . Rien ne l'empêchait de s'y conformer. Son manquement lui est donc imputable à faute.</w:t>
      </w:r>
    </w:p>
    <w:p>
      <w:r>
        <w:rPr>
          <w:b/>
        </w:rPr>
        <w:t>E. 2.2.3</w:t>
      </w:r>
    </w:p>
    <w:p>
      <w:r>
        <w:t>Il convient en dernier lieu d'examiner si cette négligence est en relation de causalité avec les lésions subies par la victime.</w:t>
      </w:r>
    </w:p>
    <w:p>
      <w:r>
        <w:t>Un comportement est la cause naturelle d'un résultat s'il en constitue l'une des conditions sine qua non, c'est-à-dire si, sans lui, le résultat ne se serait pas produit ( ATF 133 IV 158 consid. 6.1 p. 167; 125 IV 195 consid. 2b p. 197). La constatation du rapport de causalité naturelle relève du fait. Il y a toutefois violation du droit fédéral si l'autorité cantonale méconnaît le concept même de causalité naturelle ( ATF 122 IV 17 consid. 2c/aa p. 23). En l'espèce, il n'est pas contestable que le comportement de la recourante est à l'origine de l'accident. La causalité naturelle est ainsi réalisée.</w:t>
      </w:r>
    </w:p>
    <w:p>
      <w:r>
        <w:t>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que la cour de céans revoit librement ( ATF 133 IV 158 consid. 6.1 p. 168;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w:t>
      </w:r>
    </w:p>
    <w:p>
      <w:r>
        <w:t>En l'espèce, la violation par la recourante de la règle de prudence imposée par l' art. 34 al. 3 LCR (cf. supra consid. 2.2.2) était propre selon le cours ordinaire des choses à entraîner le résultat qui s'est produit. Il importe peu que l'intimé, comme la recourante le prétend, ne se soit le cas échéant pas conformé aux art. 34 al. 4 et 35 al. 5 LCR (distance insuffisante et dépassement nonobstant la signalisation de changement de direction). En effet, outre qu'il n'y a pas de compensation des fautes au pénal ( ATF 122 IV 17 consid. 2c/bb p. 24), le comportement de l'intimé, en supposant qu'il ait contrevenu aux dispositions de la LCR invoquées, n'aurait rien d'exceptionnel au point de reléguer à l'arrière-plan le comportement de la recourante, qui n'a pas vu l'intimé, ne s'est pas mise en ordre de présélection et a brusquement obliqué à gauche.</w:t>
      </w:r>
    </w:p>
    <w:p>
      <w:r>
        <w:rPr>
          <w:b/>
        </w:rPr>
        <w:t>E. 2.2.4</w:t>
      </w:r>
    </w:p>
    <w:p>
      <w:r>
        <w:t>Il résulte de ce qui précède que la condamnation de la recourante en vertu de l' art. 125 CP ne viole pas le droit fédéral.</w:t>
      </w:r>
    </w:p>
    <w:p>
      <w:r>
        <w:rPr>
          <w:b/>
        </w:rPr>
        <w:t>E. 3</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