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6B_543/2009 vom 9. März 2010</w:t>
      </w:r>
    </w:p>
    <w:p>
      <w:r>
        <w:t>Bundesgericht, 2010-03-09, FR</w:t>
      </w:r>
    </w:p>
    <w:p>
      <w:r>
        <w:rPr>
          <w:b/>
        </w:rPr>
        <w:t xml:space="preserve">Quelle: </w:t>
      </w:r>
      <w:r>
        <w:t>https://mcp.opencaselaw.ch/entscheid/bger_6B_543_2009</w:t>
      </w:r>
    </w:p>
    <w:p>
      <w:r>
        <w:t>FR: TF 6B_543/2009 du 9 mars 2010</w:t>
      </w:r>
    </w:p>
    <w:p>
      <w:r>
        <w:t>IT: TF 6B_543/2009 del 9 marzo 2010</w:t>
      </w:r>
    </w:p>
    <w:p>
      <w:pPr>
        <w:pStyle w:val="Heading2"/>
      </w:pPr>
      <w:r>
        <w:t>Erwägungen</w:t>
      </w:r>
    </w:p>
    <w:p>
      <w:r>
        <w:rPr>
          <w:b/>
        </w:rPr>
        <w:t>E. 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recourant conteste successivement la tromperie, l'astuce, l'existence d'un dommage et la causalité. Il apparaît expédient d'examiner d'emblée ces deux derniers points.</w:t>
      </w:r>
    </w:p>
    <w:p>
      <w:r>
        <w:rPr>
          <w:b/>
        </w:rPr>
        <w:t>E. 2</w:t>
      </w:r>
    </w:p>
    <w:p>
      <w:r>
        <w:t>L'erreur de la dupe doit l'avoir déterminée à effectuer des actes préjudiciables à ses intérêts pécuniaires ou à ceux d'un tiers. En d'autres termes, il doit exister un rapport de causalité ou de motivation entre l'erreur et la disposition patrimoniale. Cette dernière peut résulter aussi bien d'une action que d'une omission de la dupe, qui entraîne une diminution de son patrimoine de manière directe, par quoi il faut entendre que c'est le comportement de la dupe dicté par l'erreur de cette dernière qui engendre la diminution du patrimoine, sans que soient nécessaires d'autres interventions illicites de l'auteur ( ATF 126 IV 113 consid. 3a, p. 117 s. et les nombreuses références citées).</w:t>
      </w:r>
    </w:p>
    <w:p>
      <w:r>
        <w:t>Le dommage est, par ailleurs,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 ATF 123 IV 17 consid. 3d p. 22; 122 IV 279 consid. 2a; 121 IV 104 consid. 2c p. 107). Ainsi, dans une opération de crédit, le dommage peut résulter d'un accroissement du risque de non-recouvrement de la créance, lorsque ce risque est plus élevé que celui qu'avait admis l'institution de prêt sur la base des informations qui lui avaient été fournies (SIMONA BUSTINI GROB, Grosskredite im Schatten des Strafrechts, thèse, 1997, p. 109 s.). Encore faut-il que cela induise une diminution de la valeur de la garantie sur le marché (arrêt 6B_371/2007 du 5 octobre 2007 consid. 6.6). Le désavantage patrimonial constituant le dommage doit, en outre, correspondre à l'avantage patrimonial constituant l'enrichissement ( ATF 134 IV 210 consid. 5.3 p. 213).</w:t>
      </w:r>
    </w:p>
    <w:p>
      <w:r>
        <w:rPr>
          <w:b/>
        </w:rPr>
        <w:t>E. 2.1</w:t>
      </w:r>
    </w:p>
    <w:p>
      <w:r>
        <w:t>En l'espèce, il n'a pas été reproché au recourant et à ses coaccusés d'avoir obtenu du plaignant le paiement des sommes de 100'000 fr. et 50'000 fr. en 1998 et 1999 par l'un des moyens prévus par l' art. 146 CP . Il s'agit uniquement de qualifier les faits en relation avec la signature de la convention du 14 février 2001.</w:t>
      </w:r>
    </w:p>
    <w:p>
      <w:r>
        <w:t>Dans ce contexte, les dispositions arrêtées par le plaignant ont consisté à accepter la reprise de la dette par D.________ SA et à retirer la requête de faillite contre la Fiduciaire B.________, initialement débitrice, ainsi que sa plainte pénale contre Y.________.</w:t>
      </w:r>
    </w:p>
    <w:p>
      <w:r>
        <w:rPr>
          <w:b/>
        </w:rPr>
        <w:t>E. 2.2</w:t>
      </w:r>
    </w:p>
    <w:p>
      <w:r>
        <w:t>Selon le tribunal correctionnel, il n'était pas du tout exclu que le créancier aurait, à défaut de reprise de la dette par D.________ SA, pu percevoir davantage dans la faillite de la Fiduciaire B.________, qui incorporait les actifs de D.________ SA, que ce qu'il avait obtenu dans la procédure de réalisation de gage ultérieurement menée (jugement, consid. 2.2.a, p. 37).</w:t>
      </w:r>
    </w:p>
    <w:p>
      <w:r>
        <w:rPr>
          <w:b/>
        </w:rPr>
        <w:t>E. 2.3</w:t>
      </w:r>
    </w:p>
    <w:p>
      <w:r>
        <w:t>Répondant, sur ce point, aux griefs de X.________, la cour cantonale les a écartés en renvoyant à ses considérants consacrés au recours de Y.________ (arrêt entrepris, consid. III.3.2 et le renvoi aux consid. I.3.4 et I.3.5). Elle a considéré que l'on ne pouvait pas dire a priori, comme les premiers juges, que la vente des actions de D.________ SA dans la faillite de la Fiduciaire B.________ aurait rapporté plus que la valeur du capital-actions de D.________ SA, racheté par A.________ pour la somme de 1000 fr. dans le cadre de la poursuite en réalisation de gage (arrêt entrepris, consid. I.3.5, p. 16). En d'autres termes, il n'est pas établi que la seule reprise de la dette de celle-là par celle-ci, soit le changement de débitrice, ait emporté une exposition accrue au risque d'insolvabilité de la créance de 150'000 fr. de A.________ et une diminution de l'actif ou une augmentation du passif effectives.</w:t>
      </w:r>
    </w:p>
    <w:p>
      <w:r>
        <w:t>Cela a, du reste, conduit la cour cantonale à rechercher ailleurs la démonstration de l'existence d'un dommage.</w:t>
      </w:r>
    </w:p>
    <w:p>
      <w:r>
        <w:rPr>
          <w:b/>
        </w:rPr>
        <w:t>E. 2.4</w:t>
      </w:r>
    </w:p>
    <w:p>
      <w:r>
        <w:t>Ainsi selon la cour cantonale, il fallait plutôt raisonner par rapport à la valeur supputée de la société (D.________ SA) en fonction des éléments que A.________ connaissait alors. Ce qui était déterminant, c'est que A.________ avait accepté la transaction sur la base du bilan 1999, avec l'assurance de dame Z.________ que le bilan 2000 (non encore établi à cette époque) n'avait pas évolué de manière significative et qu'il n'y avait pas de dettes, sous réserve des engagements courants. Cette assertion était au demeurant fausse à la date du 14 février 2001 déjà, puisque la société était alors au moins débitrice de Z.________ à concurrence de 150'000 fr., dette par ailleurs non comptabilisée. Or, le bilan 1999 montrait une société qui faisait certes des pertes, mais disposait de réserves apparentes, ne serait-ce que sous la forme de liquidités ascendant à 153'326 fr. 21.</w:t>
      </w:r>
    </w:p>
    <w:p>
      <w:r>
        <w:t>Toujours selon la cour cantonale, affirmer que la situation n'avait pas changé en 2000 ou presque, comme l'avait fait Z.________, n'était vrai que si l'on admettait que le « prêt » de 150'000 fr. de cette dernière n'était pas immédiatement remboursable. Tel était le cas le 14 février 2001 en l'état de la convention du 26 septembre 2000. En effet, D.________ SA s'était engagée à investir cette somme dans l'opération immobilière neuchâteloise. Il en allait différemment, en revanche, dès lors que les protagonistes avaient changé la donne le lendemain 15 février 2001 en prévoyant de facto une renonciation à cet investissement. Du même pas, ils avaient supprimé sa justification essentielle au prêt accordé, dont on pouvait alors se demander s'il devenait immédiatement remboursable. En réalité, la garantie apparente présentée par les actions de D.________ SA remises en nantissement était réduite à rien ou presque. Dans l'esprit de A.________, D.________ SA était en effet dans une situation grosso modo équivalente à celle qui prévalait à la fin de l'année 1999. C'était vrai pour autant que l'on fasse abstraction du fait que les protagonistes avaient prévu que les 150'000 fr. seraient retirés par Z.________ dès le lendemain du compte UBS de la société ce qui constituait également, aux yeux de la cour cantonale, l'astuce.</w:t>
      </w:r>
    </w:p>
    <w:p>
      <w:r>
        <w:t>Cela ne pouvait qu'avoir été envisagé à l'avance avec Y.________ et X.________, puisque cela finalisait l'opération délictueuse en permettant à Z.________ de recouvrer immédiatement sa créance envers D.________ SA en contrepartie de son accord d'apparaître comme titulaire du capital-actions de D.________ SA, sans rien dire de la convention du 26 septembre 2000, aux termes de laquelle elle l'avait cédé à la Fiduciaire B.________. En d'autres termes, ce procédé permettait à Z.________ de se soustraire en tant que créancière à une éventuelle déconfiture de D.________ SA, le cas échéant associée à celle de la Fiduciaire B.________, dont cette société était en principe un élément des actifs. Il n'y avait d'ailleurs de ce point de vue rien d'arbitraire à ce que les premiers juges retiennent que Z.________ avait un intérêt à ce que la Fiduciaire B.________ ne tombe pas en faillite. En effet, elle risquait fort, dans ce cas, que la faillite de D.________ SA soit prononcée dans la foulée et de n'apparaître alors que comme une créancière chirographaire à hauteur des 150'000 fr., pour autant que cette créance - non comptabilisée - puisse être prise en compte. Ce procédé avait donc procuré un enrichissement illégitime à Z.________ (arrêt entrepris, consid. 3.5 p. 17 s.).</w:t>
      </w:r>
    </w:p>
    <w:p>
      <w:r>
        <w:rPr>
          <w:b/>
        </w:rPr>
        <w:t>E. 2.5</w:t>
      </w:r>
    </w:p>
    <w:p>
      <w:r>
        <w:t>En raisonnant de la sorte, la cour cantonale a certes démontré de manière convaincante que Z.________ avait bénéficié d'un enrichissement en recouvrant la somme de 150'000 fr. prêtée à D.________ SA, laquelle pouvait être menacée par la faillite de la Fiduciaire B.________ à laquelle la convention du 26 septembre 2000 prévoyait de céder le capital actions de D.________ SA. Encore fallait-il démontrer que cet avantage patrimonial obtenu par Z.________ correspondait à un désavantage pour le plaignant ( ATF 134 IV 210 consid. 5.3 p. 213) et que ce désavantage résultait directement de l'acte de disposition consenti par la victime ( ATF 126 IV 113 consid. 3a, p. 117 s. précité).</w:t>
      </w:r>
    </w:p>
    <w:p>
      <w:r>
        <w:rPr>
          <w:b/>
        </w:rPr>
        <w:t>E. 2.5.1</w:t>
      </w:r>
    </w:p>
    <w:p>
      <w:r>
        <w:t>Dans la situation initiale, soit avant la signature de la convention du 14 février 2001, le plaignant disposait d'une créance de 150'000 fr. à l'égard de la Fiduciaire B.________ qui était menacée de faillite au 15 février 2001.</w:t>
      </w:r>
    </w:p>
    <w:p>
      <w:r>
        <w:t>Immédiatement après signature de cette convention, le plaignant est devenu créancier de D.________ SA en remplacement de la Fiduciaire B.________. Comme on l'a vu (supra consid. 2.3), il n'est pas établi que la repreneuse de la dette fût, à ce moment-là, moins solvable que la Fiduciaire B.________. On peut tout au plus affirmer que D.________ SA était moins solvable après le prélèvement des liquidités opéré par Z.________ le 15 février 2001 qu'avant. Or, ce prélèvement étant postérieur à la signature de la convention du 14 février 2001, soit à la reprise de dette, et n'ayant été rendu possible que par la modification de la convention du 26 septembre 2000, mais non par la signature de celle du 14 février 2001, on ne peut rapporter directement à l'acte de disposition (l'accord à la reprise de la dette et le retrait de la réquisition de faillite) ce prélèvement et les effets qu'il a pu avoir sur la solvabilité de D.________ SA.</w:t>
      </w:r>
    </w:p>
    <w:p>
      <w:r>
        <w:rPr>
          <w:b/>
        </w:rPr>
        <w:t>E. 2.5.2</w:t>
      </w:r>
    </w:p>
    <w:p>
      <w:r>
        <w:t>Il résulte de ce qui vient d'être exposé que les constatations de fait de la cour cantonale ne permettent pas d'établir clairement que la situation patrimoniale de A.________ était meilleure avant la signature de la convention qu'après, soit que l'acte de disposition consenti à cette occasion ait causé un dommage, fût-ce sous la forme d'un accroissement du risque de non-recouvrement de sa créance. Il convient dès lors de renvoyer la cause à la cour cantonale afin qu'elle complète l'état de fait sur ce point en examinant concrètement quelles garanties de solvabilité offrait la Fiduciaire B.________ à A.________ et si celles-ci étaient meilleures ou moins bonnes que celles offertes par D.________ SA à l'échéance contractuelle de la dette reprise. Si un dommage ne peut être établi de la sorte, la cour cantonale examinera encore, autant que les règles de procédure pénale cantonales le permettent, dans quelle mesure le recourant a collaboré avec Y.________ dès 1998 aux opérations à raison desquelles ce dernier a été condamné pour abus de confiance. Il ressort en effet de certaines pièces du dossier (notamment les pièces 8/2, 9/6 et 11/2 du dossier cantonal PE03.015558) que le recourant a participé dès cette époque à cette opération, ce qui peut suggérer à tout le moins sa complicité pour cette infraction.</w:t>
      </w:r>
    </w:p>
    <w:p>
      <w:r>
        <w:rPr>
          <w:b/>
        </w:rPr>
        <w:t>E. 3</w:t>
      </w:r>
    </w:p>
    <w:p>
      <w:r>
        <w:t>Le recourant obtient gain de cause sur sa conclusion subsidiaire. Il peut prétendre des dépens à la charge du canton de Vaud ( art. 68 al. 1 et 2 LTF ). Sa demande d'assistance judiciaire est sans objet ( art. 64 al. 2 LTF ). Il n'y a pas lieu de mettre des frais à la charge de la partie civile ( art. 66 al. 1 LTF ) et du canton de Vaud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