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6B_541/2024 vom 14. Februar 2025</w:t>
      </w:r>
    </w:p>
    <w:p>
      <w:r>
        <w:t>Bundesgericht, 2025-02-14, FR</w:t>
      </w:r>
    </w:p>
    <w:p>
      <w:r>
        <w:rPr>
          <w:b/>
        </w:rPr>
        <w:t xml:space="preserve">Quelle: </w:t>
      </w:r>
      <w:r>
        <w:t>https://mcp.opencaselaw.ch/entscheid/bger_6B_541_2024</w:t>
      </w:r>
    </w:p>
    <w:p>
      <w:r>
        <w:t>FR: TF 6B_541/2024 du 14 février 2025</w:t>
      </w:r>
    </w:p>
    <w:p>
      <w:r>
        <w:t>IT: TF 6B_541/2024 del 14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4 juillet 2024, A.________ a formé un recours en matière pénale au Tribunal fédéral contre le jugement rendu le 21 février 2024 par la Cour d'appel pénale du Tribunal cantonal vaudois.</w:t>
      </w:r>
    </w:p>
    <w:p>
      <w:r>
        <w:rPr>
          <w:b/>
        </w:rPr>
        <w:t>E. 2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le recourant a, dans un premier temps, été invité, par ordonnance du 9 juillet 2024, à verser, dans un délai échéant au 26 août suivant, une avance de frais de 3000 francs.</w:t>
      </w:r>
    </w:p>
    <w:p>
      <w:r>
        <w:t>Faute pour le recourant d'avoir effectué le versement requis dans le délai imparti, ce dernier s'est vu impartir, par ordonnance du 4 septembre 2024, un délai supplémentaire échéant le 18 septembre suivant pour s'acquitter de l'avance de frais. Il a été précisé au recourant qu'à défaut de paiement en temps utile, le recours serait irrecevable ( art. 62 al. 3 LTF ).</w:t>
      </w:r>
    </w:p>
    <w:p>
      <w:r>
        <w:t>Malgré ce qui précède, le recourant n'a pas effectué l'avance de frais requise. 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rPr>
          <w:b/>
        </w:rPr>
        <w:t>E. 3</w:t>
      </w:r>
    </w:p>
    <w:p>
      <w:r>
        <w:t>Le présent arrêt est exceptionnellement rendu sans frais ( art. 66 al. 1 2</w:t>
      </w:r>
    </w:p>
    <w:p>
      <w:r>
        <w:t>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