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541/2014 vom 23. September 2014</w:t>
      </w:r>
    </w:p>
    <w:p>
      <w:r>
        <w:t>Bundesgericht, 2014-09-23, DE</w:t>
      </w:r>
    </w:p>
    <w:p>
      <w:r>
        <w:rPr>
          <w:b/>
        </w:rPr>
        <w:t xml:space="preserve">Quelle: </w:t>
      </w:r>
      <w:r>
        <w:t>https://mcp.opencaselaw.ch/entscheid/bger_6B_541_2014</w:t>
      </w:r>
    </w:p>
    <w:p>
      <w:r>
        <w:t>FR: TF 6B 541/2014 du 23 septembre 2014</w:t>
      </w:r>
    </w:p>
    <w:p>
      <w:r>
        <w:t>IT: TF 6B 541/2014 del 23 settembre 2014</w:t>
      </w:r>
    </w:p>
    <w:p>
      <w:pPr>
        <w:pStyle w:val="Heading2"/>
      </w:pPr>
      <w:r>
        <w:t>Regeste</w:t>
      </w:r>
    </w:p>
    <w:p>
      <w:r>
        <w:t>Zustellung eines Strafbescheids im Ausland, Wiederherstellung der Einsprachefrist | Straftaten</w:t>
      </w:r>
    </w:p>
    <w:p>
      <w:pPr>
        <w:pStyle w:val="Heading2"/>
      </w:pPr>
      <w:r>
        <w:t>Erwägungen</w:t>
      </w:r>
    </w:p>
    <w:p>
      <w:r>
        <w:rPr>
          <w:b/>
        </w:rPr>
        <w:t>E. 1</w:t>
      </w:r>
    </w:p>
    <w:p>
      <w:r>
        <w:t>Der Beschwerdeführer rügt eine Verletzung von Art. 7 Abs. 2 des Europäischen Übereinkommens über die Rechtshilfe in Strafsachen vom 20. April 1959 (SR 0.351.1; nachfolgend: EUeR) und von Art. 85 Abs. 4 lit. a StPO .</w:t>
      </w:r>
    </w:p>
    <w:p>
      <w:r>
        <w:rPr>
          <w:b/>
        </w:rPr>
        <w:t>E. 1.1</w:t>
      </w:r>
    </w:p>
    <w:p>
      <w:r>
        <w:t>Der Beschwerdeführer macht geltend, die Vorinstanz sei in Anwendung von Art. 85 Abs. 4 lit. a StPO davon ausgegangen, der Strafbefehl vom 19. Dezember 2013 gelte am siebten Tag nach der Avisierung durch die Post als zugestellt und habe in der Folge seine Einsprache vom 17. Januar 2014 als verspätet erachtet. Da er im Fürstentum Liechtenstein respektive im Ausland wohne, gelange in Bezug auf die Zustellung behördlicher Mitteilungen nicht Art. 85 StPO , sondern Art. 87 Abs. 2 StPO zur Anwendung. Gemäss dieser Bestimmung habe ein im Ausland wohnhafter Adressat ein Zustellungsdomizil in der Schweiz zu bezeichnen, es sei denn, und dieser Fall sei gegenständlich beachtlich, es bestünden für eine solche Zustellung staatsvertragliche Regelungen. Eine Zustellfiktion sei den im Verhältnis zwischen dem Fürstentum Liechtenstein und der Schweiz geltenden Abkommen nicht zu entnehmen. Gemäss Art. 52 Abs. 1 des Schengener Durchführbarkeitsübereinkommens vom 19. Juni 1990 (SDÜ; Amtsblatt der EU Nr. L 239 vom 22. September 2000, S. 19-62) könne die Zustellung gerichtlicher Urkunden zwar unmittelbar per Post erfolgen. Dies ändere aber nichts daran, dass der Empfang der jeweiligen Dokumente nach Art. 7 Abs. 2 EUeR mittels einer vom Empfänger unterschriebenen Empfangsbestätigung nachgewiesen werden müsse. Diesem Erfordernis könne mit der Anwendung der Zustellfiktion nicht Genüge getan werden. Abschliessend macht der Beschwerdeführer geltend, Zustellungen würden sich auf liechtensteinischem Territorium nach dem liechtensteinischen Zustellgesetz richten. Eine Ausweitung der schweizerischen Zustellregeln auf internationales Gebiet sei nicht rechtmässig.</w:t>
      </w:r>
    </w:p>
    <w:p>
      <w:r>
        <w:rPr>
          <w:b/>
        </w:rPr>
        <w:t>E. 1.2</w:t>
      </w:r>
    </w:p>
    <w:p>
      <w:r>
        <w:t>Die Vorinstanz erwägt, sowohl Art. 32 des Vertrages zwischen der Schweizerischen Eidgenossenschaft, der Republik Österreich und dem Fürstentum Liechtenstein über die grenzüberschreitende Zusammenarbeit der Sicherheits- und Zollbehörden vom 27. April 1999 (SR 0.360.163.1; nachfolgend: Vertrag mit Österreich und Liechtenstein) als auch Art. 52 Abs. 1 SDÜ sähen die direkte postalische Zustellung gerichtlicher Urkunden ins jeweilige Ausland vor. Diese beiden jüngeren Vereinbarungen gingen dem älteren Europäischen Rechtshilfeübereinkommen, welches grundsätzlich eine behördliche Zustellung verlange, vor. Auf ein Strafverfahren in der Schweiz, bei dem der einzige Auslandsbezug der Wohnsitz des Beschuldigten sei, gelange grundsätzlich die Schweizerische Strafprozessordnung und damit auch die Zustellfiktion des Art. 85 Abs. 4 lit. a StPO zur Anwendung. Selbst wenn die Folgen einer nicht abgeholten Postsendung als eine Frage der internationalen Rechtshilfe betrachtet würden, gebe es hierzu keine staatsvertraglichen Regelungen. Aus diesem Umstand könne aber nicht geschlossen werden, dass eine solche Postsendung als nicht rechtskonform zugestellt zu betrachten sei. Der Strafbefehl vom 19. Dezember 2013 sei von der liechtensteinischen Post am 20. Dezember 2013 zur Abholung gemeldet worden. Da der Beschwerdeführer die Postsendung nicht abgeholt habe, jedoch mit der Zustellung habe rechnen müssen, gelte der Strafbefehl spätestens am 27. Dezember 2013 als zugestellt. Die am 17. Januar 2014 erfolgte Einsprache sei daher verspätet.</w:t>
      </w:r>
    </w:p>
    <w:p>
      <w:r>
        <w:rPr>
          <w:b/>
        </w:rPr>
        <w:t>E. 1.3</w:t>
      </w:r>
    </w:p>
    <w:p>
      <w:r>
        <w:t>Die Zustellung eines Strafbefehls ins Ausland stellt einen formellen Akt der Gerichtsbarkeit dar und hat grundsätzlich auf dem Rechtshilfeweg zu erfolgen. Zur Vereinfachung internationaler Zustellungen wurden verschiedene Staatsverträge abgeschlossen, gemäss welchen Mitteilungen im Rahmen eines Strafverfahrens dem Empfänger im Ausland direkt per Post zugestellt werden dürfen (vgl. Art. 48 Abs. 1 und Art. 52 Abs. 1 SDÜ). Im Geltungsbereich dieser Vereinbarungen kann auf eine rechtshilfeweise Zustellung verzichtet werden (vgl. DANIELA BRÜSCHWEILER, in: Kommentar zur Schweizerischen Strafprozessordnung, Donatsch/Hansjakob/Lieber [Hrsg.], 2. Aufl. 2014, N. 2 zu Art. 87 StPO ). Im Verhältnis zwischen der Schweiz und dem Fürstentum Liechtenstein existieren entsprechende staatsvertragliche Vereinbarungen. Gemäss Art. 32 des Vertrages mit Österreich und Liechtenstein kann jeder Vertragsstaat Personen, die sich im Hoheitsgebiet eines anderen Vertragsstaates aufhalten, gerichtliche und andere behördliche Schriftstücke unmittelbar durch die Post übersenden, sofern Rechtshilfe nach dem Europäischen Rechtshilfeübereinkommen und den zwischen den Vertragsstaaten geltenden ergänzenden Vereinbarungen zu diesem Übereinkommen zulässig ist. Eine im Wesentlichen gleich lautende Bestimmung findet sich in Art. 52 Abs. 1 SDÜ. Sowohl die Schweiz als auch Liechtenstein haben Erklärungen abgegeben, wonach Strafbefehle als gerichtliche Urkunden im Sinne des Art. 52 Abs. 1 SDÜ gelten (Botschaft vom 1. Oktober 2004 zur Genehmigung der bilateralen Abkommen zwischen der Schweiz und der Europäischen Union, einschliesslich der Erlasse zur Umsetzung der Abkommen [«Bilaterale II»], BBl 2004 6164 Ziff. 2.6.8.4.4; Liechtensteinische Erklärung zu Art. 52 Abs. 1 SDÜ, BuA Nr. 79/2008, S. 98). Gestützt auf Art. 32 des Vertrages mit Österreich und Liechtenstein und Art. 52 Abs. 1 SDÜ durfte die Zustellung des Strafbefehls vom 19. Dezember 2013 unmittelbar auf dem Postweg erfolgen. Die Bestimmung von Art. 7 Abs. 2 EUeR bezieht sich auf rechtshilfeweise Zustellungen. Da der Rechtshilfeweg gar nicht beschritten wurde, ist auf die Rüge, der Strafbefehl sei dem Beschwerdeführer unter Verletzung von Art. 7 Abs. 2 EUeR zugestellt worden, nicht einzutreten. Die kantonalen Strafverfolgungsbehörden wenden auf die von ihnen geführten Strafverfahren die Schweizerische Strafprozessordnung an (vgl. Art. 1 Abs. 1 StPO ). Inwiefern durch die Anwendung von Art. 85 Abs. 4 lit. a StPO Bundesrecht verletzt sein soll, ist nicht ersichtlich. Unbegründet ist die Beschwerde auch, soweit der Beschwerdeführer vorbringt, die Zustellung auf liechtensteinischem Territorium richte sich ausschliesslich nach dem liechtensteinischen Zustellgesetz, zumal auch das liechtensteinische Zustellgesetz eine Zustellfiktion kennt (vgl. Art. 19 Abs. 3 des Gesetzes vom 22. Oktober 2008 über die Zustellung behördlicher Dokumente [172.023; ZustG/FL]). Diese tritt jedoch, im Gegensatz zur Zustellfiktion der Schweizerischen Strafprozessordnung, nicht erst am siebten, sondern bereits am ersten Tag der Abholfrist ein (Art. 19 Abs. 3 Satz 3 ZustG/FL). Somit kann der Beschwerdeführer aus seiner Argumentation, die Zustellung richte sich auf liechtensteinischem Staatsgebiet nach liechtensteinischem Recht, ebenfalls nichts zu seinen Gunsten ableiten.</w:t>
      </w:r>
    </w:p>
    <w:p>
      <w:r>
        <w:rPr>
          <w:b/>
        </w:rPr>
        <w:t>E. 2</w:t>
      </w:r>
    </w:p>
    <w:p>
      <w:r>
        <w:t>Die Beschwerde ist abzuweisen, soweit darauf eingetreten werden kann. Bei diesem Ausgang sind die Gerichtskosten dem Beschwerdeführer aufzuerlegen ( Art. 66 Abs. 1 BGG ). Das Gesuch um unentgeltliche Rechtspflege ist in Anwendung von Art. 64 BGG abzuweisen, weil die Rechtsbegehren aussichtslos erschienen. Den finanziellen Verhältnissen des Beschwerdeführers ist bei der Bemessung der Gerichtskosten Rechnung zu tragen ( Art. 65 Abs. 2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