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6B_540/2019 vom 23. Mai 2019</w:t>
      </w:r>
    </w:p>
    <w:p>
      <w:r>
        <w:t>Bundesgericht, 2019-05-23, FR</w:t>
      </w:r>
    </w:p>
    <w:p>
      <w:r>
        <w:rPr>
          <w:b/>
        </w:rPr>
        <w:t xml:space="preserve">Quelle: </w:t>
      </w:r>
      <w:r>
        <w:t>https://mcp.opencaselaw.ch/entscheid/bger_6B_540_2019</w:t>
      </w:r>
    </w:p>
    <w:p>
      <w:r>
        <w:t>FR: TF 6B_540/2019 du 23 mai 2019</w:t>
      </w:r>
    </w:p>
    <w:p>
      <w:r>
        <w:t>IT: TF 6B_540/2019 del 23 maggio 2019</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p. 88 et les références citées).</w:t>
      </w:r>
    </w:p>
    <w:p>
      <w:r>
        <w:rPr>
          <w:b/>
        </w:rPr>
        <w:t>E. 1.2</w:t>
      </w:r>
    </w:p>
    <w:p>
      <w:r>
        <w:t>En l'espèce, le recourant ne dit mot concernant d'éventuelles prétentions civiles qu'il pourrait faire valoir en raison des infractions dénoncées. Il apparaît de toute manière que le recourant s'est plaint des agissements de policiers et de représentants du ministère public, de sorte qu'il pourrait tout au plus émettre des prétentions reposant sur le droit public à raison de la responsabilité d'agents de l'Etat (cf. art. 4 de la loi vaudoise sur la responsabilité de l'Etat, des communes et de leurs agents [LRECA/VD; RS/VD 170.11]), lesquelles n'entrent pas dans la catégorie des prétentions civiles susmentionnées.</w:t>
      </w:r>
    </w:p>
    <w:p>
      <w:r>
        <w:t>Néanmoins, dans la mesure où le recourant se plaint d'un abus d'autorité et prétend avoir subi des mauvais traitements de la part de membres du ministère public et de la police, en particulier en ayant été molesté, frappé puis placé dans un lieu de détention inapproprié compte tenu de son état - ce qui pourrait être assimilé à un traitement inhumain ou dégradant au sens de l' art. 3 CEDH -, il a qualité pour recourir contre l'arrêt attaqué.</w:t>
      </w:r>
    </w:p>
    <w:p>
      <w:r>
        <w:rPr>
          <w:b/>
        </w:rPr>
        <w:t>E. 2.1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2.2</w:t>
      </w:r>
    </w:p>
    <w:p>
      <w:r>
        <w:t>En l'espèce, le recourant ne formule aucune conclusion au sens de l' art. 42 al. 1 LTF . Il présente tout d'abord, de manière totalement appellatoire et, partant, irrecevable, sa propre version des événements relatifs et consécutifs à son interpellation du 4 octobre 2015, en s'écartant de l'état de fait de la cour cantonale, dont il ne démontre pas qu'il aurait été établi de manière arbitraire (cf. art. 97 al. 1 LTF ).</w:t>
      </w:r>
    </w:p>
    <w:p>
      <w:r>
        <w:t>Le recourant énumère ensuite de nombreuses dispositions constitutionnelles et légales qui auraient selon lui été violées, sans présenter la moindre motivation topique - répondant aux exigences découlant des art. 42 al. 2 et 106 al. 2 LTF - permettant de saisir en quoi l'autorité précédente aurait pu enfreindre l'une ou l'autre de ces normes. Il adresse également divers reproches aux autorités pénales et à la cour cantonale, sans que l'on y distingue un quelconque grief recevable dirigé contre l'arrêt attaqué.</w:t>
      </w:r>
    </w:p>
    <w:p>
      <w:r>
        <w:t>On ajoutera que le recourant, qui a bénéficié de l'assistance d'un conseil juridique gratuit durant l'instruction puis devant la cour cantonale, ne prétend ni ne démontre qu'une enquête effective concernant les agissements dénoncés n'aurait pas été conduite.</w:t>
      </w:r>
    </w:p>
    <w:p>
      <w:r>
        <w:t>En définitive, le recourant ne démontre aucunement en quoi les considérations cantonales violeraient le droit.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