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6B_53/2022 vom 17. März 2022</w:t>
      </w:r>
    </w:p>
    <w:p>
      <w:r>
        <w:t>Bundesgericht, 2022-03-17, FR</w:t>
      </w:r>
    </w:p>
    <w:p>
      <w:r>
        <w:rPr>
          <w:b/>
        </w:rPr>
        <w:t xml:space="preserve">Quelle: </w:t>
      </w:r>
      <w:r>
        <w:t>https://mcp.opencaselaw.ch/entscheid/bger_6B_53_2022</w:t>
      </w:r>
    </w:p>
    <w:p>
      <w:r>
        <w:t>FR: TF 6B_53/2022 du 17 mars 2022</w:t>
      </w:r>
    </w:p>
    <w:p>
      <w:r>
        <w:t>IT: TF 6B_53/2022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10 novembre 2021, la Chambre des recours pénale du Tribunal cantonal vaudois a rejeté le recours déposé par A.________ contre la décision de refus de report d'exécution de peine privative de liberté rendue le 25 octobre 2021 par l'Office d'exécution des peines, qu'elle a confirmée.</w:t>
      </w:r>
    </w:p>
    <w:p>
      <w:r>
        <w:rPr>
          <w:b/>
        </w:rPr>
        <w:t>E. 2</w:t>
      </w:r>
    </w:p>
    <w:p>
      <w:r>
        <w:t>Par acte daté du 9 janvier 2022, A.________ a formé un recours en matière pénale au Tribunal fédéral à l'encontre de l'arrêt précité.</w:t>
      </w:r>
    </w:p>
    <w:p>
      <w:r>
        <w:rPr>
          <w:b/>
        </w:rPr>
        <w:t>E. 3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A.________ a été invité, par ordonnance du 21 janvier 2022, à verser une avance de frais de 3000 fr. jusqu'au 7 février 2022. En l'absence de versement dans le délai imparti, un délai supplémentaire non prolongeable, échéant le 28 février 2022, a été fixé au recourant par ordonnance du 16 février 2022. Les deux ordonnances en question ont été adressées par acte judiciaire avec avis de réception. Il a été précisé qu'à défaut de paiement en temps utile, le recours serait irrecevable ( art. 62 al. 3 LTF ).</w:t>
      </w:r>
    </w:p>
    <w:p>
      <w:r>
        <w:t>Nonobstant la notification des deux ordonnances précitées, A.________ n'y a donné aucune suite et n'a pas effectué l'avance de frais requise dans le délai supplémentaire imparti à cet effet.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t>Le présent arrêt est exceptionnellement rendu sans frais (art. 66 al. 1, 2</w:t>
      </w:r>
    </w:p>
    <w:p>
      <w:r>
        <w:t>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