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6B_539/2016 vom 1. November 2017</w:t>
      </w:r>
    </w:p>
    <w:p>
      <w:r>
        <w:t>Bundesgericht, 2017-11-01, FR</w:t>
      </w:r>
    </w:p>
    <w:p>
      <w:r>
        <w:rPr>
          <w:b/>
        </w:rPr>
        <w:t xml:space="preserve">Quelle: </w:t>
      </w:r>
      <w:r>
        <w:t>https://mcp.opencaselaw.ch/entscheid/bger_6B_539_2016</w:t>
      </w:r>
    </w:p>
    <w:p>
      <w:r>
        <w:t>FR: TF 6B_539/2016 du 1 novembre 2017</w:t>
      </w:r>
    </w:p>
    <w:p>
      <w:r>
        <w:t>IT: TF 6B_539/2016 del 1 novembre 2017</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 140 IV 57 consid. 2 p. 59).</w:t>
      </w:r>
    </w:p>
    <w:p>
      <w:r>
        <w:rPr>
          <w:b/>
        </w:rPr>
        <w:t>E. 1.1</w:t>
      </w:r>
    </w:p>
    <w:p>
      <w:r>
        <w:t>Avec ses écritures du 10 octobre 2017, l'intimé a produit le procès-verbal de l'audience civile du 9 octobre 2017. Ce document est ultérieur à l'arrêt attaqué et il est donc irrecevable ( art. 99 al.1 LTF ).</w:t>
      </w:r>
    </w:p>
    <w:p>
      <w:r>
        <w:rPr>
          <w:b/>
        </w:rPr>
        <w:t>E. 1.2</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qui découlent directement de la commission de l'infraction en cause ( ATF 141 IV 1 consid. 1.1 p. 4).</w:t>
      </w:r>
    </w:p>
    <w:p>
      <w:r>
        <w:t>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 ATF 127 IV 185 consid. 1a p. 188; arrêt 6B_939/2016 du 6 juillet 2017 consid. 1.1).</w:t>
      </w:r>
    </w:p>
    <w:p>
      <w:r>
        <w:t>Conformément à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N'importe quelle atteinte légère à la réputation professionnelle, économique ou sociale d'une personne ne justifie pas une réparation ( ATF 130 III 699 consid. 5.1 p. 704; 129 IV 22 consid. 7.2 p. 36 s.; 125 III 70 consid. 3a p. 75 s.).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6B_733/2017 du 25 juillet 2017 consid. 2.1; 6B_185/2013 du 22 janvier 2014 consid. 2.2 et la jurisprudence citée).</w:t>
      </w:r>
    </w:p>
    <w:p>
      <w:r>
        <w:t>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(arrêts 6B_474/2017 du 26 juin 2017 consid. 2.1; 6B_94/2013 du 3 octobre 2013 consid. 1.1).</w:t>
      </w:r>
    </w:p>
    <w:p>
      <w:r>
        <w:rPr>
          <w:b/>
        </w:rPr>
        <w:t>E. 1.3</w:t>
      </w:r>
    </w:p>
    <w:p>
      <w:r>
        <w:t>En l'occurrence, les recourants prétendent à l'obtention d'une indemnité de tort moral fondée sur l' art. 49 CO fixée à un franc symbolique, au recouvrement des frais de l'agence de communication engagée pour gérer l'atteinte à l'honneur subie - allégués de 30'000 fr. -, ainsi qu'au remboursement de leurs frais d'avocat.</w:t>
      </w:r>
    </w:p>
    <w:p>
      <w:r>
        <w:t>Si les recourants détaillent l'influence que pourrait avoir l'ordonnance de non-entrée en matière sur l'obtention - respectivement le rejet - de leurs conclusions civiles, ils ne donnent en revanche aucune explication sur l'atteinte subie par chacun d'eux distinctement, par exemple sur le plan professionnel. Ce faisant, ils violent leurs obligations en matière de motivation (cf. art. 42 al. 2 LTF ), exigences au demeurant accrues lorsqu'une personne morale - telle la recourante Y.________ PLC - prétend à une indemnisation pour tort moral (arrêts 6B_916/2014 du 17 février 2015 consid. 1; 6B_873/2013 du 12 décembre 2013 consid. 1.3). Il ne peut ainsi être retenu que la gravité de l'atteinte alléguée justifierait une indemnisation au sens de la jurisprudence. En tout état de cause, les recourants n'expliquent pas en quoi la prétention soulevée par adhésion à la procédure pénale - étant d'ailleurs douteux que celle-ci ait été invoquée (cf. ad B. 2 p. 4 de leurs observations du 2 octobre 2017) - résulterait d'une atteinte différente de celle soulevée dans le cadre de l'action civile ouverte notamment contre l'intimé (cf. les conclusions de leur action en protection de la personnalité [acte 1 de la réponse de l'intimé]). Or, la litispendance découlant de la saisine du tribunal civil ne permet plus de porter les mêmes prétentions devant un second juge (arrêt 6B_245/2017 du 27 mars 2017 consid. 3.1 et la référence citée).</w:t>
      </w:r>
    </w:p>
    <w:p>
      <w:r>
        <w:t>Les recourants n'exposent pas non plus quelles auraient été les conséquences dommageables, notamment pour l'entreprise recourante, subies à la suite de la parution de l'article litigieux. Il n'est ainsi pas manifeste que l'engagement d'une entreprise de communication s'imposait; les recourants ne produisent d'ailleurs aucune copie d'un quelconque communiqué de presse visant à démentir les propos tenus dans l'article litigieux. Il est au demeurant douteux que la facture de l'agence puisse être considérée comme un préjudice résultant directement de l'infraction dénoncée et pouvant faire l'objet de conclusions civiles par adhésion à la procédure pénale. Quant aux frais d'avocat - qui, selon l'intitulé même de la note d'honoraires produite, sont liés à la procédure pénale -, ils ne constituent pas, de jurisprudence constante, des prétentions civiles au sens de l'art. 81 al. 1 let. b ch. 5 LTF (arrêt 6B_928/2016 du 28 mars 2017 consid. 1.2 et les nombreux arrêts cités).</w:t>
      </w:r>
    </w:p>
    <w:p>
      <w:r>
        <w:t>Partant, faute d'explication suffisante sur leurs prétentions civiles, les recourants ne disposent pas de la qualité pour recourir sur le fond de la cause (art. 81 al. 1 let. a et b ch. 5 LTF) et leur recours est irrecevable à cet égard.</w:t>
      </w:r>
    </w:p>
    <w:p>
      <w:r>
        <w:rPr>
          <w:b/>
        </w:rPr>
        <w:t>E. 1.4</w:t>
      </w:r>
    </w:p>
    <w:p>
      <w:r>
        <w:t>L'hypothèse visée à l'art. 81 al. 1 let. b ch. 6 LTF n'entre pas en considération, les recourants ne soulevant aucun grief quant à leur droit de porter plainte.</w:t>
      </w:r>
    </w:p>
    <w:p>
      <w:r>
        <w:rPr>
          <w:b/>
        </w:rPr>
        <w:t>E. 1.5</w:t>
      </w:r>
    </w:p>
    <w:p>
      <w:r>
        <w:t>Indépendamment des conditions posées par l' art. 81 al. 1 LTF , la partie plaignante est habilitée à se plaindre d'une violation de ses droits de partie équivalant à un déni de justice formel.</w:t>
      </w:r>
    </w:p>
    <w:p>
      <w:r>
        <w:t>Cela ne permet cependant pas de faire valoir, même indirectement, des moyens qui ne peuvent être séparés du fond ( ATF 141 IV 1 consid. 1.1 p. 5). Tel semble être le cas du déni de justice invoqué en lien avec l' art. 173 ch. 3 CP (cf. ad B.5 du mémoire de recours), dès lors qu'il paraît plutôt tendre en substance à remettre en cause l'appréciation de l'autorité cantonale à cet égard (cf. consid. 5.3.3 p. 12 de l'arrêt attaqué). Cela étant, vu l'issue du litige, cette question peut rester indécise.</w:t>
      </w:r>
    </w:p>
    <w:p>
      <w:r>
        <w:t>Les recourants se prévalent encore de violations des art. 145, 147, 309 et 310 CPP. Ils soutiennent à cet égard qu'au vu de de la demande d'observations adressée à l'intimé par le Ministère public, une procédure formelle aurait dû être ouverte, ce qui aurait exclu le prononcé d'une ordonnance de non-entrée en matière. Au regard de la violation alléguée de droits procéduraux, il y a lieu d'entrer en matière sur cette question particulière.</w:t>
      </w:r>
    </w:p>
    <w:p>
      <w:r>
        <w:rPr>
          <w:b/>
        </w:rPr>
        <w:t>E. 2</w:t>
      </w:r>
    </w:p>
    <w:p>
      <w:r>
        <w:t>Les recourants reprochent à l'autorité précédente d'avoir considéré que le Ministère public pouvait rendre une ordonnance de non-entrée en matière.</w:t>
      </w:r>
    </w:p>
    <w:p>
      <w:r>
        <w:rPr>
          <w:b/>
        </w:rPr>
        <w:t>E. 2.1</w:t>
      </w:r>
    </w:p>
    <w:p>
      <w:r>
        <w:t>Ils soutiennent tout d'abord que l'examen de l'admission de preuves libératoires au sens de l' art. 173 ch. 2 CP n'entrerait pas dans les compétences du Procureur; celui-ci aurait donc dû renvoyer le journaliste en jugement vu que les conditions posées à l' art. 173 ch. 1 CP étaient réalisées.</w:t>
      </w:r>
    </w:p>
    <w:p>
      <w:r>
        <w:t>Il y a lieu toutefois de confirmer la compétence du Ministère public pour rendre, selon les circonstances, une ordonnance de non-entrée en matière, de classement ou une ordonnance pénale lorsqu'une infraction de diffamation ( art. 173 CP ) est en cause. Toute compétence décisionnelle n'est pas non plus déniée au Procureur lorsque les éléments constitutifs de l'infraction semblent réunis ( art. 173 ch. 1 CP ).</w:t>
      </w:r>
    </w:p>
    <w:p>
      <w:r>
        <w:t>En effet, contrairement à ce que prétendent les recourants, le fait qu'un tribunal de première instance dispose des compétences, le cas échéant, pour administrer les preuves libératoires qui peuvent découler de l'admission de ce droit (cf. art. 343 CPP ; BERNARD CORBOZ, Les infractions en droit suisse. vol. I, 3e éd. 2010, n° 63 ad art. 173 CPP ) n'exclut pas toute administration préalable. Un tel raisonnement serait contraire au principe d'économie de procédure puisqu'il tendrait à imposer dans tous les cas où les conditions de l' 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(arrêts 6B_869/2013 du 27 février 2014 consid. 5; 6B_356/2013 du 11 juin 2013 consid. 3; 1B_363/2012 du 4 juin 2013 consid. 4.2 et 4.3). Dans de telles situations, le Ministère public, dans le cadre des compétences juridictionnelles que le législateur lui a attribué, doit pouvoir rendre une décision.</w:t>
      </w:r>
    </w:p>
    <w:p>
      <w:r>
        <w:rPr>
          <w:b/>
        </w:rPr>
        <w:t>E. 2.2</w:t>
      </w:r>
    </w:p>
    <w:p>
      <w:r>
        <w:t>Selon les recourants, la mesure d'instruction entreprise - interpellation du journaliste - exclurait ensuite le prononcé d'une ordonnance de non-entrée en matière et imposerait l'ouverture d'une procédure formelle au sens de l' art. 309 CPP . Ils auraient dès lors été en droit de prétendre aux respects de leurs droits de partie, soit en particulier celui de participer à l'administration des preuves (cf. art. 147 CPP ).</w:t>
      </w:r>
    </w:p>
    <w:p>
      <w:r>
        <w:rPr>
          <w:b/>
        </w:rPr>
        <w:t>E. 2.2.1</w:t>
      </w:r>
    </w:p>
    <w:p>
      <w:r>
        <w:t>Selon la jurisprudence, il n'est pas exclu que, préalablement à ce type de décision, le Ministère public puisse procéder à certaines vérifications (cf. notamment art. 309 al. 1 let. a CPP ; arrêts 6B_940/2016 du 6 juillet 2017 consid. 3.3.2; 6B_431/2013 du 18 décembre 2013 consid. 2.2), y compris en demandant à la personne mise en cause une simple prise de position (arrêt 1B_526/2012 du 24 juin 2013 consid. 2.2). S'il considère ensuite qu'une ordonnance de non-entrée en matière doit être rendue, il n'a pas à informer les parties de son choix puisque l' art. 318 CPP n'est pas applicable dans une telle situation; le droit d'être entendu des parties sera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6B_940/2016 du 6 juillet 2017 consid. 3.3.3 et les arrêts cités).</w:t>
      </w:r>
    </w:p>
    <w:p>
      <w:r>
        <w:rPr>
          <w:b/>
        </w:rPr>
        <w:t>E. 2.2.2</w:t>
      </w:r>
    </w:p>
    <w:p>
      <w:r>
        <w:t>En l'occurrence, il est incontesté que le Ministère public n'a procédé qu'à un seul acte dans cette cause. Le Procureur a ainsi adressé, le 13 juillet 2015, un courrier à l'intimé; il en ressort qu'une procédure pénale a été ouverte contre ce dernier, que dès lors le journaliste pouvait avoir accès au dossier, participer à des actes de procédure, se prononcer sur la cause et déposer des propositions de preuves; le journaliste a également été informé des droits particuliers que confère la qualité de prévenu - expressément mentionnée -, à savoir notamment ceux de refuser de déposer ou de collaborer, ainsi que de faire appel à un défenseur d'office. A la suite de ce courrier, l'intimé s'est déterminé, déposant un certain nombre de pièces à l'appui de ses propos. L'ensemble de ces documents n'a pas été communiqué aux recourants préalablement au prononcé de l'ordonnance de non-entrée en matière.</w:t>
      </w:r>
    </w:p>
    <w:p>
      <w:r>
        <w:t>Vu le contenu du courrier du Ministère public - notamment le statut de prévenu indiqué à l'intimé et les droits y relatifs - ainsi que l'infraction dénoncée, la détermination et les pièces déposées par ce dernier ne peuvent plus être considérées dans le cas d'espèce comme une simple prise de position. Certes, il ne s'agit pas d'une mesure de contrainte, qui permettrait de déduire qu'une instruction pénale a été ouverte (cf. art. 145 et 309 al. 1 let. b CPP ; arrêt 1B_368/2012 du 13 mai 2013 consid. 3.3). Cela étant, ces observations fondent, à titre principal, l'appréciation du Ministère public dans son ordonnance pour ne pas entrer en matière sur la plainte déposée par les recourants; or, sa décision ne se limite pas à exclure le caractère diffamatoire des propos dénoncés, mais le magistrat a procédé à un examen complet de l' art. 173 CP (cf. ad 8 des déterminations du Procureur du 18 septembre 2017). Il ne peut dès lors être fait abstraction de l'articulation particulière de cette disposition. En effet, lorsque le caractère diffamatoire des propos dénoncés est retenu ( art. 173 ch. 1 CP ), l'examen de l'autorité pénale n'est pas terminé. Elle doit ensuite vérifier si l'art. 173 ch. 2 et/ou 3 CP est applicable;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 art. 173 ch. 1 CP est retenu.</w:t>
      </w:r>
    </w:p>
    <w:p>
      <w:r>
        <w:t>Il n'en va pas différemment si, comme en l'espèce, les premières déterminations de la personne mise en cause paraissent traiter de l'ensemble de ces questions; en effet, les parties plaignantes ne sont en principe pas en mesure d'émettre des considérations quant aux éventuelles raisons alléguées pour expliquer les propos dénoncés dans leur plainte pénale. Une éventuelle appréciation anticipée des éléments figurant au dossier - qui peut permettre d'exclure certaines réquisitions de preuve - ne peut également intervenir qu'à la réception de l'ensemble des observations des parties sur ces questions particulières. La transmission des écritures de l'intimé s'imposait donc, les conditions du prononcé d'une ordonnance de non-entrée en matière n'étant ainsi manifestement plus réalisées. Contrairement ainsi à ce que prétend le Ministère public, les recourants étaient en droit de se prévaloir de leurs droits de partie, dont celui de se déterminer. L'appréciation du droit à la preuve libératoire, respectivement de celle apportée, ne saurait se fonder sur les seuls arguments développés par la partie mise en cause.</w:t>
      </w:r>
    </w:p>
    <w:p>
      <w:r>
        <w:t>Partant, le Ministère public ne pouvait pas rendre une ordonnance de non-entrée en matière dans le cas d'espèce où le caractère diffamatoire des propos dénoncés a été retenu ( art. 173 ch. 1 CP ). En confirmant ce procédé, la cour cantonale viole le droit fédéral et ce grief doit être admis.</w:t>
      </w:r>
    </w:p>
    <w:p>
      <w:r>
        <w:rPr>
          <w:b/>
        </w:rPr>
        <w:t>E. 3</w:t>
      </w:r>
    </w:p>
    <w:p>
      <w:r>
        <w:t>Il s'ensuit que le recours est partiellement admis dans la mesure où il est recevable. L'arrêt attaqué est annulé. La cause est renvoyée à l'autorité précédente pour qu'elle rende une nouvelle décision au sens des considérants et statue sur les frais et dépens de la procédure cantonale.</w:t>
      </w:r>
    </w:p>
    <w:p>
      <w:r>
        <w:t>Les recourants, qui n'obtiennent que partiellement gain de cause, supporteront la moitié des frais judiciaires. Vu le grief d'ordre formel admis, il n'y a pas lieu de mettre le solde des frais à la charge de l'intimé ( art. 66 al. 1 et 4 LTF ). Les recourants, qui procèdent avec l'assistance d'un mandataire professionnel, ont droit à des dépens; pour les mêmes motifs que susmentionnés, ceux-ci seront mis exclusivement à la charge de la République et canton de Genève et leur montant sera réduit. L'intimé, assisté d'un avocat, a notamment conclu à l'irrecevabilité du recours; il a donc droit à une indemnité de dépens, dont le montant sera réduit, à la charge des recourants, solidairement entre eux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