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6B_534/2017 vom 20. Februar 2018</w:t>
      </w:r>
    </w:p>
    <w:p>
      <w:r>
        <w:t>Bundesgericht, 2018-02-20, DE</w:t>
      </w:r>
    </w:p>
    <w:p>
      <w:r>
        <w:rPr>
          <w:b/>
        </w:rPr>
        <w:t xml:space="preserve">Quelle: </w:t>
      </w:r>
      <w:r>
        <w:t>https://mcp.opencaselaw.ch/entscheid/bger_6B_534_2017</w:t>
      </w:r>
    </w:p>
    <w:p>
      <w:r>
        <w:t>FR: TF 6B_534/2017 du 20 février 2018</w:t>
      </w:r>
    </w:p>
    <w:p>
      <w:r>
        <w:t>IT: TF 6B_534/2017 del 20 febbraio 2018</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das Bundesgericht auf die Beschwerde nicht ein ( BGE 141 IV 1 E. 1.1 mit Hinweisen).</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138 IV 248 E. 2; je mit Hinweisen). Ein in der Sache nicht legitimierter Beschwerdeführer kann deshalb weder die Beweiswürdigung kritisieren, noch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(sog. "Star-Praxis"; BGE 141 IV 1 E. 1.1 mit Hinweisen).</w:t>
      </w:r>
    </w:p>
    <w:p>
      <w:r>
        <w:rPr>
          <w:b/>
        </w:rPr>
        <w:t>E. 1.2</w:t>
      </w:r>
    </w:p>
    <w:p>
      <w:r>
        <w:t>Der Beschwerdeführer begründet nicht, ob und welche Zivilansprüche er aus den inkriminierten Vorfällen gegen die Beschuldigte stellen könnte. Ehrverletzungsdelikte sind zwar grundsätzlich geeignet, einen Anspruch auf Genugtuung und damit einen Zivilanspruch im Sinne von Art. 81 Abs. 1 lit. b Ziff. 5 BGG zu begründen. Nach Art. 49 OR ist eine Genugtuung jedoch nur geschuldet, sofern die Schwere der Verletzung es rechtfertigt. Der Eingriff muss aussergewöhnlich schwer sein und in seinen Auswirkungen das Mass einer Aufregung oder einer alltäglichen Sorge klar übersteigen (Urteil 6B_94/2013 vom 3. Oktober 2013 E. 1.1 mit Hinweisen). Dass dies vorliegend der Fall wäre, zeigt der Beschwerdeführer nicht ansatzweise auf ( Art. 42 Abs. 2 BGG ), wobei diesbezügliche Verweisungen in der Beschwerde als Begründung unbehelflich sind, und liegt aufgrund der Akten nicht nahe ( BGE 140 III 115 E. 2). Es bleibt für das Bundesgericht unklar, welcherlei Vorwürfe angeblich fortgesetzter, systematischer Ehrverletzungen er gegen die Beschuldigte überhaupt erhebt. Der Beschwerdeführer ist daher unter Vorbehalt formeller Rügen nicht zur Beschwerde legitimiert. Solche erhebt er nicht. Er ist insbesondere nicht zu hören, soweit er geltend macht, er sei von der Vorinstanz mit diversen Beweisanträgen zum Nachweis der Strafbarkeit der Beschuldigten nicht gehört und ihm sei in diesem Zusammenhang mehrmals keine Fragemöglichkeit gewährt worden. Diese Rüge zielt auf die Überprüfung der Sache selbst ab und ist unzulässig (Urteil 6B_927/2015 vom 2. Mai 2016 E. 2.2). Die Vorbringen der Verletzung des Beschleunigungsgebots und des rechtlichen Gehörs betreffen das Verhalten der Staatsanwaltschaft und richten sich nicht gegen die Vorinstanz. Sie bilden daher nicht Gegenstand des angefochtenen Entscheids. Da nach dem Gesagten auf die Beschwerde nicht einzutreten ist, ist schliesslich über die Rückforderung des vorinstanzlichen Kostenvorschusses zulasten des Beschwerdeführers nicht zu entscheiden.</w:t>
      </w:r>
    </w:p>
    <w:p>
      <w:r>
        <w:rPr>
          <w:b/>
        </w:rPr>
        <w:t>E. 2</w:t>
      </w:r>
    </w:p>
    <w:p>
      <w:r>
        <w:t>Auf die Beschwerde ist im Verfahren nach Art. 108 BGG nicht einzutreten.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