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532/2020 vom 23. Mai 2022</w:t>
      </w:r>
    </w:p>
    <w:p>
      <w:r>
        <w:t>Bundesgericht, 2022-05-23, DE</w:t>
      </w:r>
    </w:p>
    <w:p>
      <w:r>
        <w:rPr>
          <w:b/>
        </w:rPr>
        <w:t xml:space="preserve">Quelle: </w:t>
      </w:r>
      <w:r>
        <w:t>https://mcp.opencaselaw.ch/entscheid/bger_6B_532_2020</w:t>
      </w:r>
    </w:p>
    <w:p>
      <w:r>
        <w:t>FR: TF 6B 532/2020 du 23 mai 2022</w:t>
      </w:r>
    </w:p>
    <w:p>
      <w:r>
        <w:t>IT: TF 6B 532/2020 del 23 maggio 2022</w:t>
      </w:r>
    </w:p>
    <w:p>
      <w:pPr>
        <w:pStyle w:val="Heading2"/>
      </w:pPr>
      <w:r>
        <w:t>Regeste</w:t>
      </w:r>
    </w:p>
    <w:p>
      <w:r>
        <w:t>Verletzung des Fabrikations- oder Geschäftsgeheimnisses, Widerhandlung gegen das Bundesgesetz über den unlauteren Wettbewerb | Straftaten</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Zivilansprüche im Sinne von Art. 81 Abs. 1 lit. b Ziff. 5 BGG sind unmittelbar aus der Straftat resultierende und ordentlicherweise vor den Zivilgerichten geltend zu machende Ansprüche, in erster Linie auf Schadenersatz und Genugtuung gemäss Art. 41 ff. OR (vgl. BGE 146 IV 76 E. 3.1; 141 IV 1 E. 1.1; Urteil 6B_345/2021 vom 27. April 2022 E. 2.2.1). Nach Art. 42 Abs. 1 und 2 BGG hat die beschwerdeführende Partei darzulegen, dass die gesetzlichen Legitimationsvoraussetzungen erfüllt sind. Die Begründung muss in der Beschwerde selbst enthalten sein; der blosse Verweis auf Ausführungen in anderen Rechtsschriften oder auf die Akten reicht nicht aus ( BGE 143 IV 122 E. 3.3; 140 III 115 E. 2; je mit Hinweisen). Eine bereits in einem Zivilprozess rechtshängige oder rechtskräftig beurteilte Klage unter den gleichen Parteien über denselben Lebenssachverhalt stellt ein Prozesshindernis im strafrechtlichen Adhäsionsprozess dar (vgl. Urteil 6B_74/2011 vom 13. September 2011 E. 3.3 mit Hinweisen). Eine gegen die beschuldigte Person erhobene Adhäsionsklage ist in einem solchen Fall unzulässig, woraus folgt, dass sich das Strafverfahren nicht auf allfällige Zivilansprüche auswirken kann und es an der Beschwerdelegitimation gemäss Art. 81 Abs. 1 lit. b Ziff. 5 BGG mangelt.</w:t>
      </w:r>
    </w:p>
    <w:p>
      <w:r>
        <w:rPr>
          <w:b/>
        </w:rPr>
        <w:t>E. 1.2</w:t>
      </w:r>
    </w:p>
    <w:p>
      <w:r>
        <w:t>Die Beschwerdeführerin bringt vor, sie habe sich als Straf- und Zivilklägerin im Verfahren gegen den Beschwerdegegner 1 konstituiert und die Herausgabe des "Verletzergewinns", eventualiter Schadenersatz in Form von entgangenem Gewinn und subeventualiter einen Anspruch aus ungerechtfertigter Bereicherung sowie die Zahlung einer Konventionalstrafe geltend gemacht. Zufolge Freispruchs des Beschwerdegegners 1 sei sie auf den Zivilweg verwiesen worden. Das angefochtene Urteil wirke sich somit auf ihre Zivilforderung aus. Ein Freispruch mit der Begründung, es liege keine Geheimhaltungspflicht vor, könne zudem Einfluss auf einen Entscheid im Zivilverfahren haben. Damit sei sie zur Beschwerde in Strafsachen legitimiert.</w:t>
      </w:r>
    </w:p>
    <w:p>
      <w:r>
        <w:rPr>
          <w:b/>
        </w:rPr>
        <w:t>E. 1.3.1</w:t>
      </w:r>
    </w:p>
    <w:p>
      <w:r>
        <w:t>Aus den kantonalen Verfahrensakten ergibt sich, dass zwischen der C.________ AG und der Beschwerdeführerin ein Forderungsstreit vor Handelsgericht Aargau hängig war, in welchem letztere im Rahmen einer Widerklage vom 6. November 2017 Forderungen gegen die C.________ AG gestellt hatte (Akten des Bezirksgerichts Baden, Beilage zur Eingabe der Beschwerdeführerin vom 14. Dezember 2018). Im Rahmen ihrer Klageantwort und Widerklage vor Handelsgericht machte die Beschwerdeführerin teilweise identische Forderungen gegen die Widerbeklagte C.________ AG geltend, wie im gegen den Beschwerdegegner 1 geführten Strafverfahren. Dies betrifft die subeventualiter gestellte Forderung für den Mietzinsausfall zufolge vorzeitiger Beendigung des Mietvertrages (vgl. S. 24 der Widerklage vom 6. November 2017). Zwar steht die rechtshängige oder bereits rechtskräftig beurteilte Klage der adhäsionsweise geltend gemachten Forderung insoweit nicht entgegen, als auf der Beklagtenseite eine andere Partei steht. Indessen ist aufgrund der vertragsrechtlichen Strukturen (vgl. Sachverhalt lit. C) nicht ohne weiteres ersichtlich, weshalb die Beschwerdeführerin für einen Teil der Forderungen einerseits den Beschwerdegegner 1 persönlich im Rahmen ihrer Adhäsionsklage ins Recht fassen will, während sie hierfür parallel dazu die C.________ AG im Handelsgerichtsverfahren eingeklagt hat. Ebenso wenig erschliesst sich ohne zusätzliche Erläuterungen, weshalb der Beschwerdegegner 1 persönlich für die geltend gemachten Forderungen auf Herausgabe des Verletzergewinns und aus ungerechtfertigter Bereicherung haftbar sein soll, zumal die C.________ AG Partei des Mietvertrages vom 31. Oktober 2015 und somit der strittigen Datennutzung war bzw. diese strittigen Daten an die G.________ AG bzw. die H.________ AG übertragen und von diesen genutzt wurden. Es wäre an der Beschwerdeführerin gelegen, zur Frage ihrer Legitimation zur Beschwerde ans Bundesgericht hinreichend darzulegen, warum sie gegen wen welche Forderungen geltend macht, und dabei zwischen juristischen und natürlichen Personen zu unterscheiden. Zudem wären in Anbetracht dessen, dass die Nutzung von Daten der Beschwerdeführerin wie auch der D.________ AG vertraglich vereinbart war, Erläuterungen erforderlich gewesen, dass der geltend gemachte Verletzergewinn bzw. Schadenersatzanspruch alleine ihr - und nicht auch der D.________ AG - zusteht.</w:t>
      </w:r>
    </w:p>
    <w:p>
      <w:r>
        <w:rPr>
          <w:b/>
        </w:rPr>
        <w:t>E. 1.3.2</w:t>
      </w:r>
    </w:p>
    <w:p>
      <w:r>
        <w:t>Im Übrigen hat es die Beschwerdeführerin unterlassen, den von ihr beanspruchten Verletzergewinn und den Schadenersatzanspruch zu spezifizieren. So behauptet sie betreffend den Verletzergewinn zwar, der Beschwerdegegner 1 habe allein im Jahr 2017 einen Reingewinn in der Höhe von Fr. 244'292.15 erwirtschaftet, indem er bösgläubig Geschäfte in eigenem Interesse abgeschlossen habe, welche er ohne Verletzung des Fabrikations- bzw. Geschäftsgeheimnisses oder ohne Widerhandlung gegen das UWG nicht hätte ausführen können. Um welche Geschäfte in welcher Höhe es sich dabei konkret handelt, zeigt die Beschwerdeführerin jedoch nicht auf. Hinsichtlich des Schadenersatzanspruchs wegen entgangenem Gewinn belässt sie es sodann bei der Ausführung, ihr seien seit Anfang 2017 diverse Aufträge entgangen, da der Beschwerdegegner 1 das umfangreiche Know-how widerrechtlich verwendete und weitergab, wobei der dadurch entgangenen Gewinn ab Januar 2017 bis Ende Juni 2018 auf mindestens Fr. 214'218.70 und seit dem 1. Juli 2018 auf monatlich Fr. 11'901.10 zu beziffern sei. Auch hier ist aus der Beschwerde nicht ersichtlich, um welche Aufträge es geht. Ebensowenig wird dargelegt, dass die Gewinnaussichten jeweils derart konkretisiert waren, sodass ihnen im Zeitpunkt des angeblichen, widerrechtlichen Verhaltens des Beschwerdegegners 1 ein wirtschaftlicher Wert zukam (vgl. zum Begriff des Schadens in Form eines entgangenen Gewinns: Urteile 6B_140/2020 vom 3. Juni 2021 E. 3.3.2; 6B_642/2013 vom 3. Februar 2014 E. 3.3; je mit Hinweisen). Es fehlt demnach an einer hinreichenden Substanziierung dieser geltend gemachten Ansprüche. Daran vermögen auch die Verweise der Beschwerdeführerin auf ihre, im Rahmen des Berufungsverfahrens gemachten Eingaben und auf ihr an der vorinstanzlichen Hauptverhandlung gehaltenes Plädoyer nichts zu ändern. Die Begründung der Zivilforderung hat in der bundesgerichtlichen Beschwerdeschrift selbst zu erfolgen. Der blosse Verweis auf Ausführungen in anderen Rechtsschriften oder auf die Akten reicht nicht aus (vgl. E. 1.1 hiervor).</w:t>
      </w:r>
    </w:p>
    <w:p>
      <w:r>
        <w:rPr>
          <w:b/>
        </w:rPr>
        <w:t>E. 1.3.3</w:t>
      </w:r>
    </w:p>
    <w:p>
      <w:r>
        <w:t>Die von der Beschwerdeführerin geltend gemachte Konventionalstrafe basiert sodann auf der Vertraulichkeitserklärung vom 8. Mai 2015. Insofern handelt es sich hierbei nicht um einen unmittelbar aus den dem Beschwerdegegner 1 vorgeworfenen Straftaten resultierenden Anspruch und stellt die Konventionalstrafe im vorliegenden Verfahren keine Zivilforderung im Sinne von Art. 81 Abs. 1 lit. b Ziff. 5 BGG dar.</w:t>
      </w:r>
    </w:p>
    <w:p>
      <w:r>
        <w:rPr>
          <w:b/>
        </w:rPr>
        <w:t>E. 1.3.4</w:t>
      </w:r>
    </w:p>
    <w:p>
      <w:r>
        <w:t>Unbehelflich ist schliesslich das Vorbringen, wonach ein Freispruch mit der Begründung, es liege keine Geheimhaltungspflicht vor, einen Einfluss auf einen Entscheid im Zivilverfahren haben könne. Nach ständiger Rechtsprechung reicht dies für die Begründung der Beschwerdelegitimation im Sinne von Art. 81 Abs. 1 lit. b Ziff. 5 BGG nicht aus. Ob und inwieweit sich ein rechtskräftiges Strafurteil auf die Zivilforderungen auswirken kann, beurteilt sich nach Art. 53 OR und ist für die Rechtsmittellegitimation nach Art. 81 BGG nicht relevant (Urteil 6B_92/2019 vom 21. März 2019 E. 4 mit Hinweis).</w:t>
      </w:r>
    </w:p>
    <w:p>
      <w:r>
        <w:rPr>
          <w:b/>
        </w:rPr>
        <w:t>E. 1.3.5</w:t>
      </w:r>
    </w:p>
    <w:p>
      <w:r>
        <w:t>Insgesamt genügt die Beschwerde den Begründungsanforderungen an die Legitimation in der Sache im Sinne von Art. 81 Abs. 1 lit. b Ziff. 5 BGG nicht ( Art. 42 Abs. 1 und 2 BGG ).</w:t>
      </w:r>
    </w:p>
    <w:p>
      <w:r>
        <w:rPr>
          <w:b/>
        </w:rPr>
        <w:t>E. 1.4</w:t>
      </w:r>
    </w:p>
    <w:p>
      <w:r>
        <w:t>Ungeachtet der fehlenden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je mit Hinweisen). Soweit die Beschwerdeführerin demnach eine Verletzung des rechtlichen Gehörs geltend macht und hierzu ausführt, die Vorinstanz habe ihre im Berufungsverfahren vorgetragene Argumentation unbeachtet gelassen, wonach der Beschwerdegegner 1 Daten mit von ihr stammendem Know-how kopiert und weiter veräussert hat, obschon eine uneingeschränkte Know-how Nutzung bei vorzeitiger Vertragsbeendigung offensichtlich nicht dem Willen der Parteien entsprochen habe, ist sie nicht zu hören, da diese Rüge im Ergebnis auf eine materielle Überprüfung des angefochtenen Entscheids hinausläuft.</w:t>
      </w:r>
    </w:p>
    <w:p>
      <w:r>
        <w:rPr>
          <w:b/>
        </w:rPr>
        <w:t>E. 2</w:t>
      </w:r>
    </w:p>
    <w:p>
      <w:r>
        <w:t>Auf die Beschwerde ist nicht einzutreten. 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