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6B_532/2019 vom 4. Juli 2019</w:t>
      </w:r>
    </w:p>
    <w:p>
      <w:r>
        <w:t>Bundesgericht, 2019-07-04, FR</w:t>
      </w:r>
    </w:p>
    <w:p>
      <w:r>
        <w:rPr>
          <w:b/>
        </w:rPr>
        <w:t xml:space="preserve">Quelle: </w:t>
      </w:r>
      <w:r>
        <w:t>https://mcp.opencaselaw.ch/entscheid/bger_6B_532_2019</w:t>
      </w:r>
    </w:p>
    <w:p>
      <w:r>
        <w:t>FR: TF 6B_532/2019 du 4 juillet 2019</w:t>
      </w:r>
    </w:p>
    <w:p>
      <w:r>
        <w:t>IT: TF 6B_532/2019 del 4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 l'espèce, par ordonnance du 31 mai 2019, A.________ a été invité à s'acquitter jusqu'au 14 juin 2019 d'une avance de frais de 800 fr. dans le cadre du recours qu'il a interjeté contre la décision citée sous rubrique. En l'absence de versement de ce montant, un délai supplémentaire échéant le 1er juillet 2019 lui a été imparti par ordonnance du 18 juin 2019, avec l'indication des conséquences légales du défaut de paiement dans ce délai. A.________ n'a pas réagi à cette communication. Il s'ensuit que les frais de la cause n'ont pas été avancés et que l'intéressé n'est pas au bénéfice de l'assistance judiciaire, ce qui entraîne l'irrecevabilité du recours.</w:t>
      </w:r>
    </w:p>
    <w:p>
      <w:r>
        <w:rPr>
          <w:b/>
        </w:rPr>
        <w:t>E. 2</w:t>
      </w:r>
    </w:p>
    <w:p>
      <w:r>
        <w:t>De surcroît, la très brève écriture déposée contient presqu'uniquement une discussion du fond de la cause, alors que la décision de dernière instance cantonale a pour seul objet susceptible d'être porté devant le Tribunal fédéral ( art. 80 al. 1 LTF ) le point de savoir si l'absence du recourant à l'audience de jugement de première instance conduisait à considérer l'opposition formée par l'intéressé à une ordonnance de condamnation comme retirée ( art. 356 al. 4 CPP ). Sur ce point précis, en se limitant à affirmer avoir " vraiment confondu les dates ", le recourant se borne à opposer sa propre appréciation à celle de la cour cantonale, qui a écarté cette allégation comme manquant totalement de crédibilité et de logique dans la mesure où la date de la lettre du Ministère publique à laquelle se référait le recourant était bien antérieure à celle du mandat de comparution. Ces développements purement appellatoires sont donc irrecevables dans le recours en matière pénale ( ATF 142 III 364 consid. 2.4 p. 368 et les références citées). Ils ne sont de toute manière pas de nature non plus à démontrer en quoi la décision entreprise violerait le droit ( art. 42 al. 2 LTF ), si bien que la motivation du recours apparaît manifestement insuffisante.</w:t>
      </w:r>
    </w:p>
    <w:p>
      <w:r>
        <w:rPr>
          <w:b/>
        </w:rPr>
        <w:t>E. 3</w:t>
      </w:r>
    </w:p>
    <w:p>
      <w:r>
        <w:t>Au vu de ce qui précède, l'irrecevabilité du recours doit être constatée en application de l' art. 108 al. 1 let. a et b LTF . Le recourant succombe. Il supporte les frais de la procédure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