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532/2016 vom 15. Dezember 2016</w:t>
      </w:r>
    </w:p>
    <w:p>
      <w:r>
        <w:t>Bundesgericht, 2016-12-15, DE</w:t>
      </w:r>
    </w:p>
    <w:p>
      <w:r>
        <w:rPr>
          <w:b/>
        </w:rPr>
        <w:t xml:space="preserve">Quelle: </w:t>
      </w:r>
      <w:r>
        <w:t>https://mcp.opencaselaw.ch/entscheid/bger_6B_532_2016</w:t>
      </w:r>
    </w:p>
    <w:p>
      <w:r>
        <w:t>FR: TF 6B 532/2016 du 15 décembre 2016</w:t>
      </w:r>
    </w:p>
    <w:p>
      <w:r>
        <w:t>IT: TF 6B 532/2016 del 15 dicembre 2016</w:t>
      </w:r>
    </w:p>
    <w:p>
      <w:pPr>
        <w:pStyle w:val="Heading2"/>
      </w:pPr>
      <w:r>
        <w:t>Regeste</w:t>
      </w:r>
    </w:p>
    <w:p>
      <w:r>
        <w:t>Verletzung der Verkehrsregeln, Willkür | Straftaten</w:t>
      </w:r>
    </w:p>
    <w:p>
      <w:pPr>
        <w:pStyle w:val="Heading2"/>
      </w:pPr>
      <w:r>
        <w:t>Erwägungen</w:t>
      </w:r>
    </w:p>
    <w:p>
      <w:r>
        <w:rPr>
          <w:b/>
        </w:rPr>
        <w:t>E. 1.1</w:t>
      </w:r>
    </w:p>
    <w:p>
      <w:r>
        <w:t>Der Beschwerdeführer machte im vorinstanzlichen Verfahren geltend, dass die Blutprobe nicht durch die Staatsanwaltschaft, sondern durch die Polizei und mithin nicht rechtskonform angeordnet worden sei. Die Vorinstanz erwägt, dass nach Art. 241 StPO für die Anordnung von Blutproben nicht die Polizei, sondern ausschliesslich die Staatsanwaltschaft zuständig sei. Gemäss den Weisungen der Oberstaatsanwaltschaft für das Vorverfahren (WOSTA) könne für die Abklärung auf den Erlass einer Einzelverfügung der Staatsanwaltschaft verzichtet werden, falls die zu untersuchende Person ihr schriftliches Einverständnis zur Probenahme erkläre. Der Beschwerdeführer habe sich am 17. März 2013, um 7:30 Uhr, unterschriftlich mit der Entnahme einer Blutprobe einverstanden erklärt. Die Vorinstanz verweist dabei auf das Formular "Anordnung der Polizei" (act. 3) und auf Seite 2 des "Polizeiprotokoll[s] bei Verdacht auf Fahrunfähigkeit" (act. 2). Eine Anordnung durch die Staatsanwaltschaft sei deshalb nicht erforderlich gewesen.</w:t>
      </w:r>
    </w:p>
    <w:p>
      <w:r>
        <w:rPr>
          <w:b/>
        </w:rPr>
        <w:t>E. 1.2</w:t>
      </w:r>
    </w:p>
    <w:p>
      <w:r>
        <w:t>Der Beschwerdeführer rügt, er habe weder in die Blutentnahme eingewilligt noch auf irgendwelche Rechte verzichtet. Er habe lediglich den Anordnungen der Polizei Folge geleistet. Daran ändere auch der Umstand nichts, dass er das Resultat des Atemlufttests nicht akzeptiert habe. Auf dem Formular "Anordnung der Polizei" (act. 3) habe der Polizist vermerkt, dass die Blutprobe gestützt auf die Verfügung des Leitenden Oberstaatsanwaltes vom 1. Januar 2011 durchgeführt werde. Er (der Beschwerdeführer) habe einzig und alleine bestätigt, dass ihm die erwähnte Verfügung des Leitenden Oberstaatsanwaltes sowie die Anordnung der Polizei in Kopie ausgehändigt worden seien. Ein schriftliches Einverständnis zur Blutprobe liege nicht vor.</w:t>
      </w:r>
    </w:p>
    <w:p>
      <w:r>
        <w:rPr>
          <w:b/>
        </w:rPr>
        <w:t>E. 1.3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Eine entsprechende Rüge muss klar vorgebracht und substanziiert begründet werden ( Art. 42 Abs. 2 und Art. 106 Abs. 2 BGG ; BGE 137 IV 1 E. 4.2.3 ; 136 I 65 E. 1.3.1; je mit Hinweisen).</w:t>
      </w:r>
    </w:p>
    <w:p>
      <w:r>
        <w:rPr>
          <w:b/>
        </w:rPr>
        <w:t>E. 1.4.1</w:t>
      </w:r>
    </w:p>
    <w:p>
      <w:r>
        <w:t>Soweit Massnahmen zur Feststellung der Fahrunfähigkeit aufgrund des Verdachts einer Widerhandlung gegen das Strassenverkehrsgesetz oder anderer Gesetze durchzuführen sind, handelt es sich um Beweisabnahmen im Sinne der StPO. Diese regelt auch die Zuständigkeit für die Durchführung und Anordnung solcher Massnahmen, weshalb das Strassenverkehrsgesetz keine entsprechenden Bestimmungen mehr enthält (Botschaft zur Vereinheitlichung des Strafprozessrechts vom 21. Dezember 2005, BBl 2006 1085, 1346 zu Art. 55 Abs. 5 SVG ). Für die zwangsweise Anordnung der Blutentnahme ist nach Art. 198 Abs. 1 lit. a StPO die Staatsanwaltschaft zuständig. Eine solche Anordnung kann gemäss Art. 241 Abs. 1 StPO auch zunächst mündlich, mithin telefonisch durch den Pikettstaatsanwalt erfolgen (FAHRNI/HEIMGARTNER, in: Basler Kommentar, Strassenverkehrsgesetz, 2014, N. 26 zu Art. 55 SVG ).</w:t>
      </w:r>
    </w:p>
    <w:p>
      <w:r>
        <w:rPr>
          <w:b/>
        </w:rPr>
        <w:t>E. 1.4.2</w:t>
      </w:r>
    </w:p>
    <w:p>
      <w:r>
        <w:t>Auf dem Formular "Anordnung der Polizei" (act. 3) hielt die Polizei fest: "Aufgrund des Resultates des Atemlufttestes wird der beschuldigten Person gestützt auf die Verfügung des Leitendenden Oberstaatsanwaltes vom 1. Januar 2011 eine Blutprobe zur Bestimmung der Blutalkoholkonzentration entnommen". Der Beschwerdeführer unterzeichnete den Abschnitt "Empfangsbestätigung", dessen Wortlaut der folgende ist: "Die beschuldigte Person erklärt, dass ihr die Verfügung der Oberstaatsanwaltschaft und die Anordnung der Polizei in Kopie ausgehändigt worden sind". Wie der Beschwerdeführer zutreffend rügt, wurde die Blutentnahme durch die Polizei angeordnet. Aus dem von ihm unterschriebenen Abschnitt ein schriftliches Einverständnis zur Blutentnahme herleiten zu wollen, ist abwegig. Nichts anderes ergibt sich aus dem "Polizeiprotokoll bei Verdacht auf Fahrunfähigkeit" (act. 2). Das für die Unterschrift der beschuldigten Person vorgesehene Feld auf der von der Vorinstanz zitierten Seite 2 dieses Dokuments blieb leer, weshalb ein schriftliches Einverständnis gestützt auf dieses Dokument von vornherein ausgeschlossen ist. Die Anordnung der Blutprobe erfolgte nicht rechtmässig und dessen Ergebnis ist nicht verwertbar ( Art. 141 Abs. 2 StPO ). Es erübrigt sich, auf die weiteren Rügen des Beschwerdeführers einzugehen. Offenbleiben kann namentlich die Frage, ob selbst bei einer gültigen Einwilligung der beschuldigten Person von einer Anordnung seitens der Staatsanwaltschaft hätte abgesehen werden dürfen.</w:t>
      </w:r>
    </w:p>
    <w:p>
      <w:r>
        <w:rPr>
          <w:b/>
        </w:rPr>
        <w:t>E. 2</w:t>
      </w:r>
    </w:p>
    <w:p>
      <w:r>
        <w:t>Die Beschwerde ist gutzuheissen und die Sache an die Vorinstanz zurückzuweisen. Für das bundesgerichtliche Verfahren sind keine Kosten zu erheben ( Art. 66 Abs. 1 und 4 BGG ). Der Kanton Zürich hat dem Beschwerdeführer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