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6B_530/2015 vom 16. Juli 2015</w:t>
      </w:r>
    </w:p>
    <w:p>
      <w:r>
        <w:t>Bundesgericht, 2015-07-16, FR</w:t>
      </w:r>
    </w:p>
    <w:p>
      <w:r>
        <w:rPr>
          <w:b/>
        </w:rPr>
        <w:t xml:space="preserve">Quelle: </w:t>
      </w:r>
      <w:r>
        <w:t>https://mcp.opencaselaw.ch/entscheid/bger_6B_530_2015</w:t>
      </w:r>
    </w:p>
    <w:p>
      <w:r>
        <w:t>FR: TF 6B_530/2015 du 16 juillet 2015</w:t>
      </w:r>
    </w:p>
    <w:p>
      <w:r>
        <w:t>IT: TF 6B_530/2015 del 16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6B_530/2015</w:t>
      </w:r>
    </w:p>
    <w:p>
      <w:r>
        <w:t>Ordonnance du 16 juillet 2015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Ministère public central du canton de Vaud, avenue de Longemalle 1, 1020 Renens VD,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l'arrêt du Tribunal cantonal du canton de Vaud, Chambre des recours pénale, du 28 avril 2015 (PE15.001523).</w:t>
      </w:r>
    </w:p>
    <w:p>
      <w:r>
        <w:t>Considérant :</w:t>
      </w:r>
    </w:p>
    <w:p>
      <w:r>
        <w:t>Par acte du 9 juillet 2015, le recourant a déclaré retirer le recours qu'il a interjeté au Tribunal fédéral contre l'arrêt rendu le 28 avril 2015 par la Chambre des recours pénale du Tribunal cantonal vaudois.</w:t>
      </w:r>
    </w:p>
    <w:p>
      <w:r>
        <w:t>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6B_530/2015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du canton de Vaud, Chambre des recours pénale.</w:t>
      </w:r>
    </w:p>
    <w:p>
      <w:r>
        <w:t>Lausanne, le 16 juillet 2015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