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52/2014 vom 10. September 2014</w:t>
      </w:r>
    </w:p>
    <w:p>
      <w:r>
        <w:t>Bundesgericht, 2014-09-10, FR</w:t>
      </w:r>
    </w:p>
    <w:p>
      <w:r>
        <w:rPr>
          <w:b/>
        </w:rPr>
        <w:t xml:space="preserve">Quelle: </w:t>
      </w:r>
      <w:r>
        <w:t>https://mcp.opencaselaw.ch/entscheid/bger_6B_52_2014</w:t>
      </w:r>
    </w:p>
    <w:p>
      <w:r>
        <w:t>FR: TF 6B 52/2014 du 10 septembre 2014</w:t>
      </w:r>
    </w:p>
    <w:p>
      <w:r>
        <w:t>IT: TF 6B 52/2014 del 10 settembre 2014</w:t>
      </w:r>
    </w:p>
    <w:p>
      <w:pPr>
        <w:pStyle w:val="Heading2"/>
      </w:pPr>
      <w:r>
        <w:t>Regeste</w:t>
      </w:r>
    </w:p>
    <w:p>
      <w:r>
        <w:t>Ordonnance de non-entrée en matière (calomnie) | Procédure pénale</w:t>
      </w:r>
    </w:p>
    <w:p>
      <w:pPr>
        <w:pStyle w:val="Heading2"/>
      </w:pPr>
      <w:r>
        <w:t>Erwägungen</w:t>
      </w:r>
    </w:p>
    <w:p>
      <w:r>
        <w:rPr>
          <w:b/>
        </w:rPr>
        <w:t>E. 1</w:t>
      </w:r>
    </w:p>
    <w:p>
      <w:r>
        <w:t>Le Tribunal fédéral examine d'office et librement la recevabilité des recours qui lui sont soumis ( ATF 138 III 46 consid. 1 p. 46).</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mais aussi celles qui visent toute satisfaction ou protection offerte par le droit privé ( ATF 127 IV 185 consid. 1a p. 187). Les mêmes exigences sont requises à l'égard de celui qui se plaint d'infractions attentatoires à l'honneur, la jurisprudence rendue avant l'entrée en vigueur de la LTF (cf. ATF 121 IV 76 ) qui dispensait celui qui était lésé par une prétendue atteinte à l'honneur de faire valoir des prétentions civiles, n'a plus cours (arrêt 6B_94/2013 du 3 octobre 2013 consid. 1.1). En particulier,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137 IV 219 consid. 2.4 p. 222 s.).</w:t>
      </w:r>
    </w:p>
    <w:p>
      <w:r>
        <w:rPr>
          <w:b/>
        </w:rPr>
        <w:t>E. 1.2</w:t>
      </w:r>
    </w:p>
    <w:p>
      <w:r>
        <w:t>En l'espèce, le recourant soutient uniquement qu'il aurait "bien évidemment" des prétentions civiles à faire valoir contre l'intimée dans l'hypothèse où la procédure se poursuivrait dans la mesure où il se considère atteint dans son honneur et qu'il a des prétentions en réparation du tort moral subi. Il indique avoir été totalement anéanti par les déclarations des témoins à la procédure canonique dont il a été l'objet et par la motivation du décret issu de celle-ci. De telles affirmations qui ne sont étayées en aucune manière ne suffisent pas à satisfaire aux exigences de motivation requises. Le recourant n'explique pas précisément en quoi consiste l'atteinte, pas plus que son importance. De surcroît, il indique que, par décision du 13 mars 2013, le Tribunal des prud'hommes de Genève lui a alloué une indemnité pour tort moral à charge de l'Eglise catholique romaine, faute pour cette dernière de l'avoir protégé dans sa personnalité. Il n'expose d'aucune manière en quoi consisterait le tort moral non réparé qui subsisterait. Aussi, l'absence de toute explication circonstanciée, dans la configuration d'espèce, suffit pour exclure sa qualité pour recourir. Il s'ensuit que le recours est irrecevable en tant qu'il porte sur le fond de la cause. Le recourant ne fait pour le surplus valoir aucune violation de ses droits procéduraux.</w:t>
      </w:r>
    </w:p>
    <w:p>
      <w:r>
        <w:rPr>
          <w:b/>
        </w:rPr>
        <w:t>E. 1.3</w:t>
      </w:r>
    </w:p>
    <w:p>
      <w:r>
        <w:t>Le recourant succombe. Il supporte les frais de la procédure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