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52/2007 vom 17. Mai 2007</w:t>
      </w:r>
    </w:p>
    <w:p>
      <w:r>
        <w:t>Bundesgericht, 2007-05-17, FR</w:t>
      </w:r>
    </w:p>
    <w:p>
      <w:r>
        <w:rPr>
          <w:b/>
        </w:rPr>
        <w:t xml:space="preserve">Quelle: </w:t>
      </w:r>
      <w:r>
        <w:t>https://mcp.opencaselaw.ch/entscheid/bger_6B_52_2007</w:t>
      </w:r>
    </w:p>
    <w:p>
      <w:r>
        <w:t>FR: TF 6B 52/2007 du 17 mai 2007</w:t>
      </w:r>
    </w:p>
    <w:p>
      <w:r>
        <w:t>IT: TF 6B 52/2007 del 17 maggio 2007</w:t>
      </w:r>
    </w:p>
    <w:p>
      <w:pPr>
        <w:pStyle w:val="Heading2"/>
      </w:pPr>
      <w:r>
        <w:t>Regeste</w:t>
      </w:r>
    </w:p>
    <w:p>
      <w:r>
        <w:t>Violation d'une obligation d'entretien | Infractions</w:t>
      </w:r>
    </w:p>
    <w:p>
      <w:pPr>
        <w:pStyle w:val="Heading2"/>
      </w:pPr>
      <w:r>
        <w:t>Erwägungen</w:t>
      </w:r>
    </w:p>
    <w:p>
      <w:r>
        <w:rPr>
          <w:b/>
        </w:rPr>
        <w:t>E. 1</w:t>
      </w:r>
    </w:p>
    <w:p>
      <w:r>
        <w:t>La décision attaquée a été rendue après l'entrée en vigueur, le 1er janvier 2007 (RO 2006, 1242), de la loi fédérale du 17 juin 2005 sur le Tribunal fédéral (LTF; RS 173.110). Le recours est donc régi par le nouveau droit ( art. 132 al. 1 LTF ).</w:t>
      </w:r>
    </w:p>
    <w:p>
      <w:r>
        <w:rPr>
          <w:b/>
        </w:rPr>
        <w:t>E. 2</w:t>
      </w:r>
    </w:p>
    <w:p>
      <w:r>
        <w:t>Le recourant ne conteste pas les raisons de procédure pénale neuchâteloise pour lesquelles la cour de cassation cantonale a refusé de tenir compte du jugement civil du 24 août 2006. Il soutient seulement qu'en application de l'art. 99 al. 1 in fine LTF, le contenu de ce jugement, qui est mentionné dans l'arrêt attaqué, devrait être pris en considération par la cour de céans, qui devrait dès lors bien constater qu'il ne s'est pas rendu coupable de violation d'une obligation d'entretien et, ainsi, que sa condamnation pour ce délit viole les art. 217 CP et 32 al. 1 Cst.</w:t>
      </w:r>
    </w:p>
    <w:p>
      <w:r>
        <w:rPr>
          <w:b/>
        </w:rPr>
        <w:t>E. 2.1</w:t>
      </w:r>
    </w:p>
    <w:p>
      <w:r>
        <w:t>Le recours au Tribunal fédéral n'est ouvert que pour les violations du droit visées par les art. 95 et 96 LTF . Sous réserve des exceptions prévues à l' art. 97 al. 2 LTF , le recourant ne peut critiquer la constatation de faits importants pour le jugement de la cause que si ceux-ci ont été constatés en violation du droit au sens de l' art. 95 LTF ou, alors, de manière manifestement inexacte ( art. 97 al. 1 LTF ), c'est-à-dire arbitraire (cf. Message du Conseil fédéral concernant la révision totale de l'organisation judiciaire fédérale, du 28 février 2001, FF 2001 4135). Dès lors, pour vérifier la conformité au droit de la décision attaquée, le Tribunal fédéral conduit son raisonnement juridique sur le même état de fait que l'autorité précédente (cf. art. 105 al. 1 LTF ). Il ne peut s'en écarter que si celle-ci a fondé sa décision sur des faits établis en violation du droit au sens de l' art. 95 LTF ou de façon manifestement inexacte au sens de l' art. 97 al. 1 LTF ( art. 105 al. 2 LTF ). Il en résulte que, si l'autorité précédente a refusé de tenir compte de certains faits pour des raisons de procédure cantonale, ces faits ne peuvent pas être pris en considération par le Tribunal fédéral, à moins que la cour cantonale n'ait violé un droit constitutionnel du recourant, ou commis l'arbitraire, en refusant de les introduire dans l'état de fait de sa décision. L' art. 99 al. 1 LTF , invoqué par le recourant, n'y change rien. En effet, le texte français de cette disposition légale recèle une contradiction dans les termes, puisqu'il paraît autoriser, interprété a contrario, la présentation d'un fait "nouveau" ou d'une preuve "nouvelle" à condition que ce fait ou ce moyen de preuve "résulte" de la décision attaquée - ce qui impliquerait précisément que ce fait ou ce moyen de preuve ne serait pas nouveau par rapport à la décision attaquée. Comme le montrent les textes allemand et italien de la loi (Martin Schubarth, Die Auslegung mehrsprachiger Gesetzestexte, in: Rapports suisses présentés au XVIIe Congrès international de droit comparé, Zurich 2006, p. 12/13), cette disposition autorise en réalité l'allégation de faits nouveaux et l'offre de preuves nouvelles devant le Tribunal fédéral dans les cas où c'est la décision de l'autorité précédente qui justifie pour la première fois de soulever ces moyens. À titre d'exemples, le message cite notamment l'allégation des faits de procédure nécessaires pour établir que l'autorité précédente a violé le droit d'être entendu du recourant, ainsi que l'allégation de faits que la décision attaquée a pour la première fois rendus pertinents (cf. Message, op. cit., FF 2001 4137). L' art. 99 al. 1 LTF ne permet dès lors pas au Tribunal fédéral de tenir compte de faits déjà invoqués devant la cour cantonale, mais que celle-ci a refusé de prendre en considération pour des raisons de procédure. Dans une telle situation, seule l'admission d'un grief d'application arbitraire du droit cantonal de procédure, soulevé et dûment motivé par le recourant (cf. art. 106 al. 2 LTF ), autoriserait à tenir compte de ces faits.</w:t>
      </w:r>
    </w:p>
    <w:p>
      <w:r>
        <w:rPr>
          <w:b/>
        </w:rPr>
        <w:t>E. 2.2</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Si elle fonde toute son argumentation sur un état de fait différent de celui de la décision attaquée, sans soutenir et expliquer précisément en quoi les conditions d'une exception prévue par l' art. 105 al. 2 LTF seraient remplies, il n'y a pas lieu d'entrer en matière sur son recours. En l'espèce, le recourant, qui raisonne à partir d'une fausse interprétation de l' art. 99 al. 1 LTF , fonde tous ses moyens sur le jugement civil du 24 août 2006. Il ne prétend pas que la cour cantonale aurait constaté les faits en violation du droit au sens de l' art. 95 LTF ou de manière arbitraire. Dès lors, motivé sur la base d'un état de fait différent de celui de la décision attaquée, son recours est irrecevable. Postérieur à la condamnation prononcée par le premier juge, le jugement civil du 24 août 2006 pourrait, en revanche, constituer un motif de révision au sens des art. 385 CP et 262 ss CPP/NE.</w:t>
      </w:r>
    </w:p>
    <w:p>
      <w:r>
        <w:rPr>
          <w:b/>
        </w:rPr>
        <w:t>E. 3</w:t>
      </w:r>
    </w:p>
    <w:p>
      <w:r>
        <w:t>Vu l'issue de la procédure, le recourant, qui succombe, supportera les frais de justice ( art. 65 et 66 al. 1 LTF ), arrêtés à 2'000 fr. Il n'y a pas lieu d'allouer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