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529/2016 vom 12. September 2016</w:t>
      </w:r>
    </w:p>
    <w:p>
      <w:r>
        <w:t>Bundesgericht, 2016-09-12, DE</w:t>
      </w:r>
    </w:p>
    <w:p>
      <w:r>
        <w:rPr>
          <w:b/>
        </w:rPr>
        <w:t xml:space="preserve">Quelle: </w:t>
      </w:r>
      <w:r>
        <w:t>https://mcp.opencaselaw.ch/entscheid/bger_6B_529_2016</w:t>
      </w:r>
    </w:p>
    <w:p>
      <w:r>
        <w:t>FR: TF 6B 529/2016 du 12 septembre 2016</w:t>
      </w:r>
    </w:p>
    <w:p>
      <w:r>
        <w:t>IT: TF 6B 529/2016 del 12 settembre 2016</w:t>
      </w:r>
    </w:p>
    <w:p>
      <w:pPr>
        <w:pStyle w:val="Heading2"/>
      </w:pPr>
      <w:r>
        <w:t>Regeste</w:t>
      </w:r>
    </w:p>
    <w:p>
      <w:r>
        <w:t>Versuchte vorsätzliche Tötung, Willkür | Straftaten</w:t>
      </w:r>
    </w:p>
    <w:p>
      <w:pPr>
        <w:pStyle w:val="Heading2"/>
      </w:pPr>
      <w:r>
        <w:t>Erwägungen</w:t>
      </w:r>
    </w:p>
    <w:p>
      <w:r>
        <w:rPr>
          <w:b/>
        </w:rPr>
        <w:t>E. 1.1</w:t>
      </w:r>
    </w:p>
    <w:p>
      <w:r>
        <w:t>Der Beschwerdeführer rügt eine willkürliche Sachverhaltsfeststellung und eine Verletzung des Grundsatzes "in dubio pro reo" als Beweiswürdigungs- und Beweislastregel. Entgegen der Auffassung der Vorinstanz sei relevant, ob er einen Hüftschuss aus dem Handgelenk heraus abgegeben und damit ungezielt geschossen habe oder ob er mit ausgestrecktem Arm gezielt habe. Bei einer Schussabgabe aus dem Handgelenk auf Hüfthöhe sei ein Zielen nicht möglich. Die Vorinstanz habe die Frage offengelassen und dadurch auch seinen Anspruch auf rechtliches Gehör verletzt. Er habe keinen Tötungswillen gehabt. Hätte er das Opfer tatsächlich töten wollen, hätte er ohne Weiteres einen oder mehrere gezielte Schüsse auf dieses resp. dessen Kopf abgeben können.</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 Dem Grundsatz "in dubio pro reo" kommt als Beweiswürdigungsregel im Verfahren vor Bundesgericht keine über das Willkürverbot von Art. 9 BV hinausgehende Bedeutung zu (vgl. BGE 138 V 74 E. 7 S. 82 ; 127 I 38 E. 2a S. 41).</w:t>
      </w:r>
    </w:p>
    <w:p>
      <w:r>
        <w:rPr>
          <w:b/>
        </w:rPr>
        <w:t>E. 1.2.2</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 innere Tatsachen, die vor Bundesgericht nur im Rahmen von Art. 97 Abs. 1 BGG gerügt werden können. Rechtsfrage ist hingegen, ob im Lichte der festgestellten Tatsachen der Schluss auf Eventualvorsatz begründet ist ( BGE 141 IV 369 E. 6.3 S. 375; 137 IV 1 E. 4.2.3 S. 4; je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w:t>
      </w:r>
    </w:p>
    <w:p>
      <w:r>
        <w:rPr>
          <w:b/>
        </w:rPr>
        <w:t>E. 1.3</w:t>
      </w:r>
    </w:p>
    <w:p>
      <w:r>
        <w:t>Die Vorinstanz erwägt u.a., da der Beschwerdeführer aus nächster Nähe auf das Opfer geschossen habe, spiele es keine Rolle, wie er konkret vorgegangen sei, d.h. ob er - seinen Behauptungen entsprechend - einen "Hüftschuss" aus dem Handgelenk abgegeben oder mit ausgestrecktem Arm geschossen habe. Fakt sei, dass bei einem Schuss aus einer Distanz von lediglich 60 bis 80 cm ein genaues Zielen für die Herbeiführung einer lebensgefährlichen Verletzung nicht erforderlich gewesen sei (angefochtenes Urteil E. 2.5 S. 35). Die Vorinstanz lässt damit offen, ob der Beschwerdeführer auf Hüfthöhe aus dem Handgelenk heraus oder mit ausgestrecktem Arm schoss. Sie nimmt folglich zugunsten des Beschwerdeführers an, dass sich der Sachverhalt tatsächlich wie von diesem behauptet zugetragen haben könnte. Nicht zu beanstanden ist, wenn sie für erwiesen hält, dass dieser wissentlich und willentlich auf den Oberkörper des Opfers und nicht etwa auf dessen Beine schoss, da er den Schuss aus einer sehr kurzen Distanz abgab. Die Vorinstanz legt sodann willkürfrei dar, weshalb angesichts des Schusses auf den Oberkörper des Opfers, des Tatmotivs des Beschwerdeführers und der sichergestellten Chat- sowie SMS-Nachrichten davon auszugehen ist, dieser habe das Opfer töten wollen. Der Beschwerdeführer setzt sich damit nicht auseinander. Seine Sachverhaltsrügen erschöpfen sich in einer unzulässigen appellatorischen Kritik. Darauf ist nicht weiter einzugehen.</w:t>
      </w:r>
    </w:p>
    <w:p>
      <w:r>
        <w:rPr>
          <w:b/>
        </w:rPr>
        <w:t>E. 1.4</w:t>
      </w:r>
    </w:p>
    <w:p>
      <w:r>
        <w:t>Nicht ersichtlich ist, inwiefern die Vorinstanz den in Art. 29 Abs. 2 BV verankerten Anspruch des Beschwerdeführers auf rechtliches Gehör verletzt haben könnte, indem sie offenliess, ob dieser auf Hüfthöhe aus dem Handgelenk heraus oder mit ausgestrecktem Arm schoss. Eine Verletzung der Unschuldsvermutung als Beweislastregel liegt ebenfalls nicht vor, da dem Beschwerdeführer im angefochtenen Entscheid nicht vorgeworfen wird, er habe seine Unschuld nicht bewiesen (vgl. BGE 127 I 38 E. 2a mit Hinweis).</w:t>
      </w:r>
    </w:p>
    <w:p>
      <w:r>
        <w:rPr>
          <w:b/>
        </w:rPr>
        <w:t>E. 1.5</w:t>
      </w:r>
    </w:p>
    <w:p>
      <w:r>
        <w:t>Die Rügen des Beschwerdeführers sind unbegründet, soweit darauf einzutreten ist.</w:t>
      </w:r>
    </w:p>
    <w:p>
      <w:r>
        <w:rPr>
          <w:b/>
        </w:rPr>
        <w:t>E. 2</w:t>
      </w:r>
    </w:p>
    <w:p>
      <w:r>
        <w:t>Gestützt auf die willkürfreien und damit verbindlichen Sachverhaltsfeststellungen geht die Vorinstanz zu Recht von einer versuchten vorsätzlichen Tötung aus. Der Beschwerdeführer ficht auch die rechtliche Würdigung der Tat an. Er macht diesbezüglich jedoch lediglich geltend, er habe das Opfer nicht töten wollen. Darauf ist nicht einzutreten, da sich der Beschwerdeführer damit einzig gegen die vorinstanzliche Beweiswürdigung richtet und er seiner rechtlichen Würdigung folglich von den verbindlichen Sachverhaltsfeststellungen abweichende Tatsachenbehauptungen zugrunde legt.</w:t>
      </w:r>
    </w:p>
    <w:p>
      <w:r>
        <w:rPr>
          <w:b/>
        </w:rPr>
        <w:t>E. 3</w:t>
      </w:r>
    </w:p>
    <w:p>
      <w:r>
        <w:t>Der Beschwerdeführer rügt schliesslich, es habe eine Notwehrsituation im Sinne von Art. 15 StGB bestanden, in welcher er von der Schusswaffe habe Gebrauch machen dürfen (Beschwerde S. 5 ff. und 12 f.). Er bringt in diesem Zusammenhang vor, die der Schussabgabe vorausgehende Auseinandersetzung habe sich nicht in einem gegenseitigen harmlosen Schubsen erschöpft. Nicht erstellt sei zudem, wer die Bierflasche auf den Boden geworfen habe. Diese Kritik an der vorinstanzlichen Beweiswürdigung ist erneut rein appellatorischer Natur. Darauf ist nicht einzutreten (oben E. 1.2.1). Die Vorinstanz erwägt, beim Einsatz der Schusswaffe habe weder ein tätlicher Angriff vorgelegen noch seien für den Beschwerdeführer von Seiten des Opfers über das gegenseitige, noch harmlose Schubsen hinausgehende Tätlichkeiten wie Faustschläge oder dergleichen ernsthaft zu erwarten gewesen, welche ihn zur ein blosses Schubsen überschreitenden Abwehr berechtigt hätten, zumal er selber diese Situation geschaffen habe, indem er dem Opfer nach dem Verlassen der Bar D.________ (in welcher es bereits zu Spannungen kam) nachgelaufen sei und diesem zugerufen habe (angefochtenes Urteil E. 4.4.2 S. 48). Damit verneint die Vorinstanz zu Recht eine Notwehrsituation im Sinne von Art. 15 StGB .</w:t>
      </w:r>
    </w:p>
    <w:p>
      <w:r>
        <w:rPr>
          <w:b/>
        </w:rPr>
        <w:t>E. 4</w:t>
      </w:r>
    </w:p>
    <w:p>
      <w:r>
        <w:t>Die Beschwerde ist abzuweisen, soweit darauf eingetreten werden kann.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