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6B_528/2016 vom 24. Mai 2016</w:t>
      </w:r>
    </w:p>
    <w:p>
      <w:r>
        <w:t>Bundesgericht, 2016-05-24, DE</w:t>
      </w:r>
    </w:p>
    <w:p>
      <w:r>
        <w:rPr>
          <w:b/>
        </w:rPr>
        <w:t xml:space="preserve">Quelle: </w:t>
      </w:r>
      <w:r>
        <w:t>https://mcp.opencaselaw.ch/entscheid/bger_6B_528_2016</w:t>
      </w:r>
    </w:p>
    <w:p>
      <w:r>
        <w:t>FR: TF 6B_528/2016 du 24 mai 2016</w:t>
      </w:r>
    </w:p>
    <w:p>
      <w:r>
        <w:t>IT: TF 6B_528/2016 del 24 maggio 2016</w:t>
      </w:r>
    </w:p>
    <w:p>
      <w:pPr>
        <w:pStyle w:val="Heading2"/>
      </w:pPr>
      <w:r>
        <w:t>Erwägungen</w:t>
      </w:r>
    </w:p>
    <w:p>
      <w:r>
        <w:rPr>
          <w:b/>
        </w:rPr>
        <w:t>E. 1</w:t>
      </w:r>
    </w:p>
    <w:p>
      <w:r>
        <w:t>Das Obergericht des Kantons Uri wies am 1. April 2016 ein Fristwiederherstellungsgesuch ab, soweit es darauf eintrat, weil es an einem valablen Grund für die Wiederherstellung der Frist fehlte. Der Beschwerdeführer wendet sich ans Bundesgericht, ohne einen sachgerechten Antrag zu stellen.</w:t>
      </w:r>
    </w:p>
    <w:p>
      <w:r>
        <w:t>In einer Beschwerde ans Bundesgericht ist unter Bezugnahme auf den angefochtenen Entscheid darzulegen, inwieweit dieser gegen das Recht verstossen soll ( Art. 42 Abs. 2 BGG ). Im vorliegenden Verfahren könnte sich das Bundesgericht nur mit der Frage befassen, ob die Vorinstanz die Frist hätte wiederherstellen müssen. Dazu äussert sich der Beschwerdeführer nicht. Seine Vorbringen sind nicht sachbezogen und somit samt und sonders unzulässig. Auf die Beschwerde ist mangels einer tauglichen Begründung im Verfahren nach Art. 108 BGG nicht einzutreten.</w:t>
      </w:r>
    </w:p>
    <w:p>
      <w:r>
        <w:rPr>
          <w:b/>
        </w:rPr>
        <w:t>E. 2</w:t>
      </w:r>
    </w:p>
    <w:p>
      <w:r>
        <w:t>Die Gerichtskosten sind dem Beschwerdeführer aufzuerlegen ( Art. 66 Abs. 1 BGG ). Das nachträglich gestellte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