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6B_527/2018 vom 24. Mai 2018</w:t>
      </w:r>
    </w:p>
    <w:p>
      <w:r>
        <w:t>Bundesgericht, 2018-05-24, DE</w:t>
      </w:r>
    </w:p>
    <w:p>
      <w:r>
        <w:rPr>
          <w:b/>
        </w:rPr>
        <w:t xml:space="preserve">Quelle: </w:t>
      </w:r>
      <w:r>
        <w:t>https://mcp.opencaselaw.ch/entscheid/bger_6B_527_2018</w:t>
      </w:r>
    </w:p>
    <w:p>
      <w:r>
        <w:t>FR: TF 6B_527/2018 du 24 mai 2018</w:t>
      </w:r>
    </w:p>
    <w:p>
      <w:r>
        <w:t>IT: TF 6B_527/2018 del 24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in Strafsachen ist innert 30 Tagen nach der Eröffnung der vollständigen Ausfertigung des angefochtenen Entscheids beim Bundesgericht einzureichen ( Art. 100 Abs. 1 BGG ).</w:t>
      </w:r>
    </w:p>
    <w:p>
      <w:r>
        <w:t>Die vorinstanzliche Verfügung wurde der Beschwerdeführerin am 15. März 2018 zugestellt. Dass die Zustellung nicht ordnungsgemäss erfolgte, macht die Beschwerdeführerin nicht geltend. Die 30-tägige Beschwerdefrist begann folglich am 16. März 2018 zu laufen und endete unter Berücksichtigung von Art. 45 Abs. 1 BGG und Art. 46 Abs. 1 lit. a BGG am 30. April 2018. Die erst am 15. Mai 2018 (Poststempel) der Schweizerischen Post übergebene Beschwerde ist folglich verspätet (vgl. Art. 48 Abs. 1 BGG ). Darauf ist im Verfahren nach Art. 108 BGG nicht einzutreten.</w:t>
      </w:r>
    </w:p>
    <w:p>
      <w:r>
        <w:t>Im Übrigen wäre auf die Beschwerde auch deshalb nicht einzutreten, weil sie den Begründungsanforderungen von Art. 42 Abs. 2 und Art. 106 Abs. 2 BGG in keiner Weise entspricht.</w:t>
      </w:r>
    </w:p>
    <w:p>
      <w:r>
        <w:rPr>
          <w:b/>
        </w:rPr>
        <w:t>E. 2</w:t>
      </w:r>
    </w:p>
    <w:p>
      <w:r>
        <w:t>Auf eine Kostenauflage ist ausnahmsweise zu verzichten. Das Gesuch um unentgeltliche Rechtspflege (welche der Beschwerdeführerin als juristische Person grundsätzlich ohnehin nicht zusteht) wird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