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526/2014 vom 2. Februar 2015</w:t>
      </w:r>
    </w:p>
    <w:p>
      <w:r>
        <w:t>Bundesgericht, 2015-02-02, FR</w:t>
      </w:r>
    </w:p>
    <w:p>
      <w:r>
        <w:rPr>
          <w:b/>
        </w:rPr>
        <w:t xml:space="preserve">Quelle: </w:t>
      </w:r>
      <w:r>
        <w:t>https://mcp.opencaselaw.ch/entscheid/bger_6B_526_2014</w:t>
      </w:r>
    </w:p>
    <w:p>
      <w:r>
        <w:t>FR: TF 6B 526/2014 du 2 février 2015</w:t>
      </w:r>
    </w:p>
    <w:p>
      <w:r>
        <w:t>IT: TF 6B 526/2014 del 2 febbraio 2015</w:t>
      </w:r>
    </w:p>
    <w:p>
      <w:pPr>
        <w:pStyle w:val="Heading2"/>
      </w:pPr>
      <w:r>
        <w:t>Regeste</w:t>
      </w:r>
    </w:p>
    <w:p>
      <w:r>
        <w:t>Lésions corporelles simples, menaces, infraction à la loi fédérale sur les armes | Infractions</w:t>
      </w:r>
    </w:p>
    <w:p>
      <w:pPr>
        <w:pStyle w:val="Heading2"/>
      </w:pPr>
      <w:r>
        <w:t>Erwägungen</w:t>
      </w:r>
    </w:p>
    <w:p>
      <w:r>
        <w:rPr>
          <w:b/>
        </w:rPr>
        <w:t>E. 1</w:t>
      </w:r>
    </w:p>
    <w:p>
      <w:r>
        <w:t>Le recourant se plaint d'une violation des art. 9 et 32 Cst. ainsi que de l' art. 105 al. 2 LTF . Invoquant la présomption d'innocence ainsi que l'interdiction de l'arbitraire, il soutient qu'au vu des éléments de preuve dont disposait la cour cantonale, elle ne pouvait qu'éprouver un doute insurmontable.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138 III 378 consid. 6.1 p. 379,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6B_171/2014 du 2 septembre 2014 et les références citées). Telle qu'elle est invoquée, à savoir comme règle de l'appréciation des preuves, la présomption d'innocence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37s.).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1.2</w:t>
      </w:r>
    </w:p>
    <w:p>
      <w:r>
        <w:t>La cour cantonale a fondé sa conviction sur la conjonction de divers éléments de preuve. Il s'agit en premier lieu du témoignage du voisin de la victime, chez qui elle est allée se réfugier. Il a déclaré qu'elle était très nerveuse, peinait à trouver ses mots, avait les larmes aux yeux et était choquée; elle lui a confié avoir mal aux côtes car son compagnon l'avait frappée. La cour cantonale a par ailleurs noté qu'il ressort d'une attestation de « Solidarité femmes », que la victime avait consultée dix jours avant les faits, qu'elle avait évoqué des violences psychologiques, verbales et physiques infligées par son compagnon à cinq reprises durant les deux dernières années. Par ailleurs, une psychothérapeute a notamment attesté qu'au cours de l'année 2009 elle avait suivi, dans le cadre d'une psychothérapie de soutien et d'un traitement par antidépresseurs, la victime qui vivait dans un climat de violence psychologique (insultes et menaces graves) instauré par son compagnon. La cour cantonale a, enfin, relevé que le recourant lui-même avait admis s'être énervé le soir en question, avoir jeté le natel de la victime par terre et sa carte SIM par la fenêtre et l'avoir traitée de « conne » et qu'il est établi qu'il avait fait un geste de la main comme s'il tenait un couteau et voulait l'éviscérer. Les menaces et les injures imputées au recourant, qui ne sont pas remises en question par celui-ci, sont établies. Pour le surplus, le raisonnement de l'autorité cantonale est tout à fait cohérent et les points soulevés par le recourant, au demeurant par une argumentation largement de nature appellatoire et donc irrecevable, ne suffisent pas à le faire apparaître arbitraire pour le moins dans son résultat. Le recourant soutient que l'absence de traces des coups au visage prétendument reçus par la victime et ce tant une heure après les faits que cinq jours plus tard, suffirait à faire douter de la crédibilité de la version de cette dernière; il fait valoir que l'absence de rougeurs sur le visage de la victime le soir des faits permet d'exclure l'hypothèse qu'elle ait reçu gifle ou coup de poing au visage comme elle le prétend. La critique du recourant sur ce point est de nature largement appellatoire et il ne montre pas que l'absence de traces sur le visage de la victime exclurait totalement la possibilité qu'elle ait été frappée. Or il n'est pas inconcevable que certains coups aient été infligés à la victime sans toutefois laisser de traces. Par ailleurs, l'absence de certificat médical établissant les sévices subis par la victime ne suffit pas à mettre en doute l'existence de ceux-ci. Le recourant prétend que la cour cantonale ne pouvait pas prendre en compte les attestations émanant de « Solidarité femmes » pour l'une et de la psychothérapeute de la victime pour l'autre car elles ne rapportent que les faits relatés par celle-ci et sont de surcroît contradictoires entre elles. L'attestation de « Solidarité femmes » fait état de violences psychologiques, verbales et physiques à cinq reprises au cours des deux années précédant la consultation, qui a débuté le 2 novembre 2010. La psychothérapeute pour sa part mentionne que la victime a suivi une psychothérapie de soutien et un traitement médicamenteux par antidépresseurs durant l'année 2009 car elle vivait dans un climat de violence psychologique et qu'elle avait repris ce traitement à la suite de son départ en foyer. C'est en vain que le recourant cherche des contradictions entre ces deux attestations; elles concordent au contraire dans la mesure où toutes deux mettent en lumière le climat de violence qu'il a imposé à sa compagne. D'une part le texte de l'attestation n'exclut pas que les violences physiques aient eu lieu au cours de l'année 2010, soit après la fin du traitement suivi auprès de la psychothérapeute. D'autre part, il est tout à fait concevable que la compagne du recourant n'ait pas fait état des violences physiques qu'elle subissait. Il n'est en effet pas rare que, par honte notamment, des victimes ne parviennent pas, même face à des professionnels, à évoquer tous les sévices qui leur sont infligés. Le climat de violence tel qu'il ressort des deux attestations fait bien apparaître la version des faits de la victime plus crédible que celle du recourant. Ce dernier cherche enfin à discréditer les déclarations de l'intimée en prétendant qu'elle a parlé à la police des armes qu'il détenait dans le seul but de le faire arrêter alors qu'elle savait pertinemment qu'elles ne représentaient aucune menace. Il ne ressort nullement de l'arrêt attaqué que l'intimée aurait à quelque moment que ce soit prétendu avoir vu le recourant manipuler les armes en question. Elle a uniquement prévenu la police qu'il était en possession d'armes et avait menacé d'en faire usage au travers de la porte en cas d'intervention. Ces déclarations ne sont pas contradictoires avec le fait que les armes en question n'ont été découvertes que lors de la fouille de l'appartement. Enfin, c'est également en vain que le recourant conteste la constatation de la cour cantonale selon laquelle l'intimée n'aurait eu aucun profit à tirer de la présente procédure. Il n'appert en effet pas qu'elle aurait souhaité éloigner sa fille de lui et obtenir une réparation d'ordre pécuniaire. Cette situation apparaît comme la conséquence, non recherchée par l'intimée, des actes imputés au recourant. Mal fondé, le grief d'appréciation arbitraire des faits et de violation du principe « in dubio pro reo » doit être rejeté dans la mesure où il est recevable.</w:t>
      </w:r>
    </w:p>
    <w:p>
      <w:r>
        <w:rPr>
          <w:b/>
        </w:rPr>
        <w:t>E. 2</w:t>
      </w:r>
    </w:p>
    <w:p>
      <w:r>
        <w:t>Le recourant se plaint d'une violation de l' art. 21 CP . Il soutient qu'il ne savait pas et ne pouvait pas savoir qu'il était tenu de déclarer les armes en sa possession, de sorte qu'il doit bénéficier de l'erreur sur l'illicéité et être acquitté sur ce point. Il invoque l'évolution de la loi fédérale sur les armes. Aux termes de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 ATF 138 IV 13 consid. 8.2 p. 27).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consid. 2 p. 210). Une raison de se croire en droit d'agir est « suffisante » lorsqu'aucun reproche ne peut lui être adressé parce que son erreur provient de circonstances qui auraient pu induire en erreur tout homme consciencieux ( ATF 98 IV 293 consid. 4a p. 303; cf. FF 1999 p. 1814). En revanche, celui dont l'erreur sur l'illicéité est évitable commet une faute, mais sa culpabilité est diminuée. Il restera punissable, mais verra sa peine obligatoirement atténuée (art. 21, 2e phrase, CP; FF 1999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(cf. ATF 75 IV 150 consid. 3). La réglementation relative à l'erreur sur l'illicéité repose sur l'idée que le justiciable doit faire tout son possible pour connaître la loi et que son ignorance ne le protège que dans des cas exceptionnels ( ATF 129 IV 238 consid. 3.1 p. 241). Il ressort de l'arrêt attaqué que le recourant avait, plusieurs années auparavant, obtenu un permis d'achat pour une arme à feu et qu'il savait par conséquent que la détention d'armes était soumise à une réglementation. La cour cantonale a par ailleurs relevé qu'il était au courant que ce premier permis d'achat ne le dispensait pas de déclarer les armes acquises ultérieurement. Ces constatations de fait lient le Tribunal fédéral conformément à l' art. 105 al. 1 LTF dès lors que le recourant ne les remet pas en question au moyen d'une argumentation satisfaisant aux exigences de motivation accrues déduites de l' art. 106 al. 2 LTF . Dans ces circonstances, on pouvait pour le moins attendre du recourant qu'il se renseigne sur la nécessité d'entreprendre certaines démarches en relation avec sa détention de plusieurs armes. C'est donc sans violer le droit fédéral que la cour cantonale ne l'a pas mis au bénéfice de l'erreur sur l'illicéité.</w:t>
      </w:r>
    </w:p>
    <w:p>
      <w:r>
        <w:rPr>
          <w:b/>
        </w:rPr>
        <w:t>E. 3</w:t>
      </w:r>
    </w:p>
    <w:p>
      <w:r>
        <w:t>Le recourant soutient que l'indemnité de 8'000 fr. allouée à l'intimée pour ses frais de défense viole l' art. 433 CPP et que la cour cantonale ne pouvait, sauf à violer le droit fédéral, lui octroyer un quelconque montant à ce titre. La question de l'indemnité pour les dépens de première instance n'a été traitée par la cour cantonale que dans le cadre de l'appel joint de l'intimée, par lequel celle-ci sollicitait, notamment, une augmentation du montant de cette indemnité. Aucun grief relatif à une réduction voire une suppression de cette dernière n'a été abordé par la cour cantonale. Le recourant ne se plaint d'aucun déni de justice de la part de la cour cantonale. Il n'y a dès lors pas lieu d'entrer en matière sur le grief, faute d'épuisement des instances cantonales (cf. art. 80 al. 1 LTF ).</w:t>
      </w:r>
    </w:p>
    <w:p>
      <w:r>
        <w:rPr>
          <w:b/>
        </w:rPr>
        <w:t>E. 4</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 Enfin, la cause étant ainsi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